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新宋体" w:hAnsi="新宋体" w:eastAsia="新宋体" w:cs="新宋体"/>
          <w:sz w:val="44"/>
          <w:szCs w:val="44"/>
        </w:rPr>
      </w:pPr>
    </w:p>
    <w:p>
      <w:pPr>
        <w:spacing w:line="360" w:lineRule="auto"/>
        <w:jc w:val="center"/>
        <w:rPr>
          <w:rFonts w:ascii="隶书" w:hAnsi="隶书" w:eastAsia="隶书" w:cs="隶书"/>
          <w:sz w:val="150"/>
          <w:szCs w:val="150"/>
        </w:rPr>
      </w:pPr>
      <w:r>
        <w:rPr>
          <w:rFonts w:hint="eastAsia" w:ascii="隶书" w:hAnsi="隶书" w:eastAsia="隶书" w:cs="隶书"/>
          <w:sz w:val="150"/>
          <w:szCs w:val="150"/>
        </w:rPr>
        <w:t>监 督 专 报</w:t>
      </w:r>
    </w:p>
    <w:p>
      <w:pPr>
        <w:spacing w:line="500" w:lineRule="exact"/>
        <w:ind w:firstLine="643" w:firstLineChars="200"/>
        <w:jc w:val="center"/>
        <w:rPr>
          <w:rFonts w:ascii="仿宋" w:hAnsi="仿宋" w:eastAsia="仿宋" w:cs="仿宋"/>
          <w:b/>
          <w:bCs/>
          <w:sz w:val="32"/>
          <w:szCs w:val="32"/>
        </w:rPr>
      </w:pPr>
      <w:r>
        <w:rPr>
          <w:rFonts w:hint="eastAsia" w:ascii="仿宋" w:hAnsi="仿宋" w:eastAsia="仿宋" w:cs="仿宋"/>
          <w:b/>
          <w:bCs/>
          <w:sz w:val="32"/>
          <w:szCs w:val="32"/>
        </w:rPr>
        <w:t>2020年1号</w:t>
      </w:r>
    </w:p>
    <w:p>
      <w:pPr>
        <w:spacing w:line="500" w:lineRule="exact"/>
        <w:ind w:firstLine="560" w:firstLineChars="200"/>
        <w:jc w:val="distribute"/>
        <w:rPr>
          <w:rFonts w:ascii="仿宋" w:hAnsi="仿宋" w:eastAsia="仿宋" w:cs="仿宋"/>
          <w:sz w:val="32"/>
          <w:szCs w:val="32"/>
        </w:rPr>
      </w:pPr>
      <w:r>
        <w:rPr>
          <w:rFonts w:hint="eastAsia" w:ascii="仿宋" w:hAnsi="仿宋" w:eastAsia="仿宋" w:cs="仿宋"/>
          <w:sz w:val="28"/>
          <w:szCs w:val="28"/>
        </w:rPr>
        <w:t>纪委办                                       2020年3月7日</w:t>
      </w:r>
      <w:r>
        <w:rPr>
          <w:rFonts w:hint="eastAsia" w:ascii="仿宋" w:hAnsi="仿宋" w:eastAsia="仿宋" w:cs="仿宋"/>
          <w:sz w:val="32"/>
          <w:szCs w:val="32"/>
        </w:rPr>
        <w:t xml:space="preserve">                        </w:t>
      </w:r>
    </w:p>
    <w:p>
      <w:pPr>
        <w:spacing w:line="360" w:lineRule="auto"/>
        <w:jc w:val="center"/>
        <w:rPr>
          <w:rFonts w:ascii="新宋体" w:hAnsi="新宋体" w:eastAsia="新宋体" w:cs="新宋体"/>
          <w:sz w:val="44"/>
          <w:szCs w:val="44"/>
        </w:rPr>
      </w:pPr>
      <w:r>
        <w:rPr>
          <w:sz w:val="44"/>
        </w:rPr>
        <mc:AlternateContent>
          <mc:Choice Requires="wps">
            <w:drawing>
              <wp:anchor distT="0" distB="0" distL="114300" distR="114300" simplePos="0" relativeHeight="251658240" behindDoc="0" locked="0" layoutInCell="1" allowOverlap="1">
                <wp:simplePos x="0" y="0"/>
                <wp:positionH relativeFrom="column">
                  <wp:posOffset>201295</wp:posOffset>
                </wp:positionH>
                <wp:positionV relativeFrom="paragraph">
                  <wp:posOffset>118745</wp:posOffset>
                </wp:positionV>
                <wp:extent cx="5774055" cy="60960"/>
                <wp:effectExtent l="0" t="9525" r="17145" b="24765"/>
                <wp:wrapNone/>
                <wp:docPr id="2" name="直接连接符 2"/>
                <wp:cNvGraphicFramePr/>
                <a:graphic xmlns:a="http://schemas.openxmlformats.org/drawingml/2006/main">
                  <a:graphicData uri="http://schemas.microsoft.com/office/word/2010/wordprocessingShape">
                    <wps:wsp>
                      <wps:cNvCnPr/>
                      <wps:spPr>
                        <a:xfrm flipV="1">
                          <a:off x="1065530" y="2952750"/>
                          <a:ext cx="5774055" cy="609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flip:y;margin-left:15.85pt;margin-top:9.35pt;height:4.8pt;width:454.65pt;z-index:251658240;mso-width-relative:page;mso-height-relative:page;" filled="f" stroked="t" coordsize="21600,21600" o:gfxdata="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J3GYnWAAAACAEAAA8A&#10;AAAAAAAAAQAgAAAAIgAAAGRycy9kb3ducmV2LnhtbFBLAQIUABQAAAAIAIdO4kB+vOdo4AEAAH4D&#10;AAAOAAAAAAAAAAEAIAAAACUBAABkcnMvZTJvRG9jLnhtbFBLBQYAAAAABgAGAFkBAAB3BQAAAAA=&#10;">
                <v:fill on="f" focussize="0,0"/>
                <v:stroke weight="1.5pt" color="#000000 [3200]" miterlimit="8" joinstyle="miter"/>
                <v:imagedata o:title=""/>
                <o:lock v:ext="edit" aspectratio="f"/>
              </v:line>
            </w:pict>
          </mc:Fallback>
        </mc:AlternateContent>
      </w:r>
    </w:p>
    <w:p>
      <w:pPr>
        <w:spacing w:line="360" w:lineRule="auto"/>
        <w:jc w:val="center"/>
        <w:rPr>
          <w:rFonts w:ascii="新宋体" w:hAnsi="新宋体" w:eastAsia="新宋体" w:cs="新宋体"/>
          <w:sz w:val="44"/>
          <w:szCs w:val="44"/>
        </w:rPr>
      </w:pPr>
    </w:p>
    <w:p>
      <w:pPr>
        <w:spacing w:line="360" w:lineRule="auto"/>
        <w:jc w:val="center"/>
        <w:rPr>
          <w:rFonts w:ascii="新宋体" w:hAnsi="新宋体" w:eastAsia="新宋体" w:cs="新宋体"/>
          <w:sz w:val="44"/>
          <w:szCs w:val="44"/>
        </w:rPr>
      </w:pPr>
      <w:r>
        <w:rPr>
          <w:rFonts w:hint="eastAsia" w:ascii="华文中宋" w:hAnsi="华文中宋" w:eastAsia="华文中宋" w:cs="华文中宋"/>
          <w:sz w:val="44"/>
          <w:szCs w:val="44"/>
        </w:rPr>
        <w:t>关于疫情防控专项监督检查的报告</w:t>
      </w:r>
    </w:p>
    <w:p>
      <w:pPr>
        <w:spacing w:line="360" w:lineRule="auto"/>
        <w:jc w:val="center"/>
        <w:rPr>
          <w:rFonts w:ascii="仿宋" w:hAnsi="仿宋" w:eastAsia="仿宋" w:cs="仿宋"/>
          <w:sz w:val="32"/>
          <w:szCs w:val="32"/>
        </w:rPr>
      </w:pPr>
    </w:p>
    <w:p>
      <w:pPr>
        <w:ind w:firstLine="640" w:firstLineChars="200"/>
        <w:rPr>
          <w:rFonts w:ascii="仿宋" w:hAnsi="仿宋" w:eastAsia="仿宋" w:cs="仿宋"/>
          <w:sz w:val="32"/>
          <w:szCs w:val="32"/>
        </w:rPr>
      </w:pPr>
      <w:r>
        <w:rPr>
          <w:rFonts w:hint="eastAsia" w:ascii="仿宋" w:hAnsi="仿宋" w:eastAsia="仿宋" w:cs="仿宋"/>
          <w:sz w:val="32"/>
          <w:szCs w:val="32"/>
        </w:rPr>
        <w:t>根据校纪委《关于开展疫情防控工作专项监督的通知》的要求，纪委办组织开展我校疫情防控专项监督检查，现将有关情况报告如下：</w:t>
      </w:r>
    </w:p>
    <w:p>
      <w:pPr>
        <w:numPr>
          <w:ilvl w:val="0"/>
          <w:numId w:val="1"/>
        </w:numPr>
        <w:ind w:firstLine="643" w:firstLineChars="200"/>
        <w:rPr>
          <w:rFonts w:ascii="仿宋" w:hAnsi="仿宋" w:eastAsia="仿宋" w:cs="仿宋"/>
          <w:b/>
          <w:bCs/>
          <w:sz w:val="32"/>
          <w:szCs w:val="32"/>
        </w:rPr>
      </w:pPr>
      <w:r>
        <w:rPr>
          <w:rFonts w:hint="eastAsia" w:ascii="仿宋" w:hAnsi="仿宋" w:eastAsia="仿宋" w:cs="仿宋"/>
          <w:b/>
          <w:bCs/>
          <w:sz w:val="32"/>
          <w:szCs w:val="32"/>
        </w:rPr>
        <w:t>专项监督检查组织实施情况</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3月3日上午，根据校纪委《</w:t>
      </w:r>
      <w:bookmarkStart w:id="0" w:name="文件标题"/>
      <w:r>
        <w:rPr>
          <w:rFonts w:hint="eastAsia" w:ascii="仿宋" w:hAnsi="仿宋" w:eastAsia="仿宋" w:cs="仿宋"/>
          <w:sz w:val="32"/>
          <w:szCs w:val="32"/>
        </w:rPr>
        <w:t>关于进一步加强疫情防控工作专项监督的通知</w:t>
      </w:r>
      <w:bookmarkEnd w:id="0"/>
      <w:r>
        <w:rPr>
          <w:rFonts w:hint="eastAsia" w:ascii="仿宋" w:hAnsi="仿宋" w:eastAsia="仿宋" w:cs="仿宋"/>
          <w:sz w:val="32"/>
          <w:szCs w:val="32"/>
        </w:rPr>
        <w:t>》（</w:t>
      </w:r>
      <w:bookmarkStart w:id="1" w:name="文号"/>
      <w:r>
        <w:rPr>
          <w:rFonts w:hint="eastAsia" w:ascii="仿宋" w:hAnsi="仿宋" w:eastAsia="仿宋" w:cs="仿宋"/>
          <w:sz w:val="32"/>
          <w:szCs w:val="32"/>
        </w:rPr>
        <w:t>校纪字〔2020〕1号</w:t>
      </w:r>
      <w:bookmarkEnd w:id="1"/>
      <w:r>
        <w:rPr>
          <w:rFonts w:hint="eastAsia" w:ascii="仿宋" w:hAnsi="仿宋" w:eastAsia="仿宋" w:cs="仿宋"/>
          <w:sz w:val="32"/>
          <w:szCs w:val="32"/>
        </w:rPr>
        <w:t>）及校领导要求，纪委办制定了《疫情防控专项监督检查安排》，组织部分纪委委员和纪委办人员分成两个组，分别由张开炳、伊长文带队，坚持问题导向，采取看、听、查等灵活有效的方式对学校疫情防控的主要部位和关键环节进行监督检查，以促进各单位进一步落实防控责任，落实开展线上教学办公要求，确保各项工作有序开展。</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检查组按照检查方案，实地督查了教务处、校门执勤点、校医院、研究生3号宿舍楼隔离点及纺织服装学院、外国语学院、计算机与信息学院，与组织部、学生处、机械与汽车工程学院、体育学院负责人进行交流，重点了解、检查师生管理和线上教学情况，校门防控管理、防疫物资准备、隔离地点建设，特别是对湖北等重点疫区师生、返芜返校教师、出租房及租户摸排等情况。</w:t>
      </w:r>
    </w:p>
    <w:p>
      <w:pPr>
        <w:numPr>
          <w:ilvl w:val="0"/>
          <w:numId w:val="1"/>
        </w:numPr>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学校疫情防控及线上教学办公开展情况</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从</w:t>
      </w:r>
      <w:r>
        <w:rPr>
          <w:rFonts w:hint="eastAsia" w:ascii="仿宋" w:hAnsi="仿宋" w:eastAsia="仿宋" w:cs="仿宋"/>
          <w:sz w:val="32"/>
          <w:szCs w:val="32"/>
          <w:lang w:val="en-US" w:eastAsia="zh-CN"/>
        </w:rPr>
        <w:t>检查情况</w:t>
      </w:r>
      <w:r>
        <w:rPr>
          <w:rFonts w:hint="eastAsia" w:ascii="仿宋" w:hAnsi="仿宋" w:eastAsia="仿宋" w:cs="仿宋"/>
          <w:sz w:val="32"/>
          <w:szCs w:val="32"/>
        </w:rPr>
        <w:t>来看，学校各</w:t>
      </w:r>
      <w:r>
        <w:rPr>
          <w:rFonts w:hint="eastAsia" w:ascii="仿宋" w:hAnsi="仿宋" w:eastAsia="仿宋" w:cs="仿宋"/>
          <w:sz w:val="32"/>
          <w:szCs w:val="32"/>
          <w:lang w:val="en-US" w:eastAsia="zh-CN"/>
        </w:rPr>
        <w:t>相关</w:t>
      </w:r>
      <w:r>
        <w:rPr>
          <w:rFonts w:hint="eastAsia" w:ascii="仿宋" w:hAnsi="仿宋" w:eastAsia="仿宋" w:cs="仿宋"/>
          <w:sz w:val="32"/>
          <w:szCs w:val="32"/>
        </w:rPr>
        <w:t>部门</w:t>
      </w:r>
      <w:r>
        <w:rPr>
          <w:rFonts w:hint="eastAsia" w:ascii="仿宋" w:hAnsi="仿宋" w:eastAsia="仿宋" w:cs="仿宋"/>
          <w:sz w:val="32"/>
          <w:szCs w:val="32"/>
          <w:lang w:val="en-US" w:eastAsia="zh-CN"/>
        </w:rPr>
        <w:t>和各学院</w:t>
      </w:r>
      <w:r>
        <w:rPr>
          <w:rFonts w:hint="eastAsia" w:ascii="仿宋" w:hAnsi="仿宋" w:eastAsia="仿宋" w:cs="仿宋"/>
          <w:sz w:val="32"/>
          <w:szCs w:val="32"/>
        </w:rPr>
        <w:t>基本上能够自觉落实中央和省委的决策部署，遵从地方政府、学校制定的疫情防控要求，做实做细有关防控措施，取得了积极成效。</w:t>
      </w:r>
    </w:p>
    <w:p>
      <w:pPr>
        <w:ind w:firstLine="643" w:firstLineChars="200"/>
        <w:rPr>
          <w:rFonts w:ascii="仿宋" w:hAnsi="仿宋" w:eastAsia="仿宋" w:cs="仿宋"/>
          <w:sz w:val="32"/>
          <w:szCs w:val="32"/>
        </w:rPr>
      </w:pPr>
      <w:r>
        <w:rPr>
          <w:rFonts w:hint="eastAsia" w:ascii="仿宋" w:hAnsi="仿宋" w:eastAsia="仿宋" w:cs="仿宋"/>
          <w:b/>
          <w:bCs/>
          <w:sz w:val="32"/>
          <w:szCs w:val="32"/>
        </w:rPr>
        <w:t>线上教学情况</w:t>
      </w:r>
      <w:r>
        <w:rPr>
          <w:rFonts w:hint="eastAsia" w:ascii="仿宋" w:hAnsi="仿宋" w:eastAsia="仿宋" w:cs="仿宋"/>
          <w:sz w:val="32"/>
          <w:szCs w:val="32"/>
        </w:rPr>
        <w:t xml:space="preserve">  学校在线实际开设课程1032门次，开展在线教学教师662人，同时开设约100门公共选修课，对毕业生开展在线辅导，综合运用中国大学MOOC、超星尔雅、学堂在线、e学会平台等教学资源。</w:t>
      </w:r>
      <w:r>
        <w:rPr>
          <w:rFonts w:hint="eastAsia" w:ascii="仿宋" w:hAnsi="仿宋" w:eastAsia="仿宋" w:cs="仿宋"/>
          <w:sz w:val="32"/>
          <w:szCs w:val="32"/>
          <w:lang w:val="en-US" w:eastAsia="zh-CN"/>
        </w:rPr>
        <w:t>从检查情况来看，</w:t>
      </w:r>
      <w:r>
        <w:rPr>
          <w:rFonts w:hint="eastAsia" w:ascii="仿宋" w:hAnsi="仿宋" w:eastAsia="仿宋" w:cs="仿宋"/>
          <w:sz w:val="32"/>
          <w:szCs w:val="32"/>
        </w:rPr>
        <w:t>教师能够做到课前准备充分，按教学计划组织开展教学，多渠道推进教学，能够做好考勤管理。校院两级线上教学督导及时跟进，持续监控教学质量。</w:t>
      </w:r>
    </w:p>
    <w:p>
      <w:pPr>
        <w:ind w:firstLine="643" w:firstLineChars="200"/>
        <w:rPr>
          <w:rFonts w:ascii="仿宋" w:hAnsi="仿宋" w:eastAsia="仿宋" w:cs="仿宋"/>
          <w:sz w:val="32"/>
          <w:szCs w:val="32"/>
        </w:rPr>
      </w:pPr>
      <w:r>
        <w:rPr>
          <w:rFonts w:hint="eastAsia" w:ascii="仿宋" w:hAnsi="仿宋" w:eastAsia="仿宋" w:cs="仿宋"/>
          <w:b/>
          <w:bCs/>
          <w:sz w:val="32"/>
          <w:szCs w:val="32"/>
        </w:rPr>
        <w:t>师生管理情况</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相关</w:t>
      </w:r>
      <w:r>
        <w:rPr>
          <w:rFonts w:hint="eastAsia" w:ascii="仿宋" w:hAnsi="仿宋" w:eastAsia="仿宋" w:cs="仿宋"/>
          <w:sz w:val="32"/>
          <w:szCs w:val="32"/>
        </w:rPr>
        <w:t>学院能够全面、准确掌握师生的具体情况，与师生保持密切联系，通过qq群、微信群等及时将学校有关通知和要求传达下去，上传下达比较畅通，做到了一盘棋，齐步走。</w:t>
      </w:r>
    </w:p>
    <w:p>
      <w:pPr>
        <w:ind w:firstLine="640" w:firstLineChars="200"/>
        <w:rPr>
          <w:rFonts w:ascii="仿宋" w:hAnsi="仿宋" w:eastAsia="仿宋" w:cs="仿宋"/>
          <w:sz w:val="32"/>
          <w:szCs w:val="32"/>
        </w:rPr>
      </w:pPr>
      <w:r>
        <w:rPr>
          <w:rFonts w:hint="eastAsia" w:ascii="仿宋" w:hAnsi="仿宋" w:eastAsia="仿宋" w:cs="仿宋"/>
          <w:sz w:val="32"/>
          <w:szCs w:val="32"/>
        </w:rPr>
        <w:t>纺织服装学院、外国语学院、计算机与信息学院等教学单位均建立防控工作台账，对特殊群体实行包干制和动态管理，主要负责人能够主动开展工作和加强工作力度，确保每项措施落到实处。学院和部门能够加强对返芜（校）教师的审批，对暂时无法返回芜湖的教师安排专人对接，对返回芜湖居家隔离教师提供周到帮助。学院党政领导、辅导员采取灵活有效的方式督促学生按时参加线上教学。纺织服装学院对所有湖北籍学生加强引导，摸清学生情况，做到一人一案，精准管理。</w:t>
      </w:r>
    </w:p>
    <w:p>
      <w:pPr>
        <w:ind w:firstLine="643" w:firstLineChars="200"/>
        <w:jc w:val="left"/>
        <w:rPr>
          <w:rFonts w:ascii="仿宋" w:hAnsi="仿宋" w:eastAsia="仿宋" w:cs="仿宋"/>
          <w:sz w:val="32"/>
          <w:szCs w:val="32"/>
        </w:rPr>
      </w:pPr>
      <w:r>
        <w:rPr>
          <w:rFonts w:hint="eastAsia" w:ascii="仿宋" w:hAnsi="仿宋" w:eastAsia="仿宋" w:cs="仿宋"/>
          <w:b/>
          <w:bCs/>
          <w:sz w:val="32"/>
          <w:szCs w:val="32"/>
        </w:rPr>
        <w:t>防控措施落实情况</w:t>
      </w:r>
      <w:r>
        <w:rPr>
          <w:rFonts w:hint="eastAsia" w:ascii="仿宋" w:hAnsi="仿宋" w:eastAsia="仿宋" w:cs="仿宋"/>
          <w:sz w:val="32"/>
          <w:szCs w:val="32"/>
        </w:rPr>
        <w:t xml:space="preserve">  保卫处主要负责人带队在学校南大门检查防控措施，大门防控控措施落实较好，体温测试、入校人员身份核实等能够按照要求进行逐一排查、确认。校园内未见人员聚集的现象。</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后勤保障处主要负责人坚持代班、值班。后勤保障处为防疫采购的医用酒精、消毒液、口罩等物资有一定的储备，可以满足近期的公共部位消杀物资需要。防疫物资有专人管理，物资领用有书面记录。在校医院和学生宿舍区的2处隔离点已经建设完成，基本上可以满足随时启用。</w:t>
      </w:r>
    </w:p>
    <w:p>
      <w:pPr>
        <w:adjustRightInd w:val="0"/>
        <w:snapToGrid w:val="0"/>
        <w:spacing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校内房屋和润津花园出租摸排情况</w:t>
      </w:r>
      <w:r>
        <w:rPr>
          <w:rFonts w:hint="eastAsia" w:ascii="仿宋" w:hAnsi="仿宋" w:eastAsia="仿宋" w:cs="仿宋"/>
          <w:sz w:val="32"/>
          <w:szCs w:val="32"/>
        </w:rPr>
        <w:t xml:space="preserve">  组织部牵头各二级党组织和有关职能部门，组成了以党员为主体的志愿服务队，针对校内职工住宅区、润津花园小区和部分学生宿舍（公租房）进行全面摸排。基本上摸清了校园内1676户住（租）户信息，建好志愿服务联系群，对租住户开展了防疫宣传教育，组织承租人签订防疫工作承诺。截至3月9日，共统计出校内出租户为214户（其中：校内职工住宅区、学生宿舍楼114户，润津花园100户），登记承租人441人（其中：校内职工住宅区、学生宿舍楼180人，润津花园261人）。承租人已经返回入住总计65户，127人（其中：校内职工住宅区44户，81人；润津花园21户，46人）。无人居住且暂时无法联系住户共16户。</w:t>
      </w:r>
    </w:p>
    <w:p>
      <w:pPr>
        <w:numPr>
          <w:ilvl w:val="0"/>
          <w:numId w:val="1"/>
        </w:numPr>
        <w:ind w:firstLine="643" w:firstLineChars="200"/>
        <w:jc w:val="left"/>
        <w:rPr>
          <w:rFonts w:ascii="仿宋" w:hAnsi="仿宋" w:eastAsia="仿宋" w:cs="仿宋"/>
          <w:b/>
          <w:bCs/>
          <w:sz w:val="32"/>
          <w:szCs w:val="32"/>
        </w:rPr>
      </w:pPr>
      <w:r>
        <w:rPr>
          <w:rFonts w:hint="eastAsia" w:ascii="仿宋" w:hAnsi="仿宋" w:eastAsia="仿宋" w:cs="仿宋"/>
          <w:b/>
          <w:bCs/>
          <w:sz w:val="32"/>
          <w:szCs w:val="32"/>
        </w:rPr>
        <w:t>发现的问题和建议</w:t>
      </w:r>
    </w:p>
    <w:p>
      <w:pPr>
        <w:pStyle w:val="6"/>
        <w:widowControl/>
        <w:spacing w:beforeAutospacing="0" w:after="106" w:afterAutospacing="0"/>
        <w:ind w:firstLine="640" w:firstLineChars="200"/>
        <w:rPr>
          <w:rFonts w:ascii="仿宋" w:hAnsi="仿宋" w:eastAsia="仿宋" w:cs="仿宋"/>
          <w:sz w:val="32"/>
          <w:szCs w:val="32"/>
        </w:rPr>
      </w:pPr>
      <w:r>
        <w:rPr>
          <w:rFonts w:ascii="仿宋" w:hAnsi="仿宋" w:eastAsia="仿宋" w:cs="仿宋"/>
          <w:kern w:val="2"/>
          <w:sz w:val="32"/>
          <w:szCs w:val="32"/>
        </w:rPr>
        <w:t>尽管当前全国疫情防控形势向好的态势发展，</w:t>
      </w:r>
      <w:r>
        <w:rPr>
          <w:rFonts w:hint="eastAsia" w:ascii="仿宋" w:hAnsi="仿宋" w:eastAsia="仿宋" w:cs="仿宋"/>
          <w:kern w:val="2"/>
          <w:sz w:val="32"/>
          <w:szCs w:val="32"/>
        </w:rPr>
        <w:t>但不能有松一松、缓一缓的思想</w:t>
      </w:r>
      <w:r>
        <w:rPr>
          <w:rFonts w:ascii="仿宋" w:hAnsi="仿宋" w:eastAsia="仿宋" w:cs="仿宋"/>
          <w:kern w:val="2"/>
          <w:sz w:val="32"/>
          <w:szCs w:val="32"/>
        </w:rPr>
        <w:t>，各</w:t>
      </w:r>
      <w:r>
        <w:rPr>
          <w:rFonts w:hint="eastAsia" w:ascii="仿宋" w:hAnsi="仿宋" w:eastAsia="仿宋" w:cs="仿宋"/>
          <w:kern w:val="2"/>
          <w:sz w:val="32"/>
          <w:szCs w:val="32"/>
        </w:rPr>
        <w:t>部门、学院要克服厌战心理，杜绝麻痹思想和侥幸心理，主动作为，继续以高度负责的态度贯彻落实党中央、上级精神和学校党委统一部署，严格要求，继续把各项工作做实做细，确保学校防控成果。根据现场督查情况，结合学校防控工作实际，提出以下问题和建议：</w:t>
      </w:r>
    </w:p>
    <w:p>
      <w:pPr>
        <w:numPr>
          <w:ilvl w:val="0"/>
          <w:numId w:val="2"/>
        </w:numPr>
        <w:ind w:firstLine="640" w:firstLineChars="200"/>
        <w:jc w:val="left"/>
        <w:rPr>
          <w:rFonts w:ascii="仿宋" w:hAnsi="仿宋" w:eastAsia="仿宋" w:cs="仿宋"/>
          <w:sz w:val="32"/>
          <w:szCs w:val="32"/>
        </w:rPr>
      </w:pPr>
      <w:r>
        <w:rPr>
          <w:rFonts w:hint="eastAsia" w:ascii="仿宋" w:hAnsi="仿宋" w:eastAsia="仿宋" w:cs="仿宋"/>
          <w:sz w:val="32"/>
          <w:szCs w:val="32"/>
        </w:rPr>
        <w:t>隔离点没有张贴隔离管理办法、隔离须知等隔离人员在隔离期间需要遵守的要求、规范等。</w:t>
      </w:r>
    </w:p>
    <w:p>
      <w:pPr>
        <w:jc w:val="left"/>
        <w:rPr>
          <w:rFonts w:ascii="仿宋" w:hAnsi="仿宋" w:eastAsia="仿宋" w:cs="仿宋"/>
          <w:sz w:val="32"/>
          <w:szCs w:val="32"/>
        </w:rPr>
      </w:pPr>
      <w:r>
        <w:rPr>
          <w:rFonts w:hint="eastAsia" w:ascii="仿宋" w:hAnsi="仿宋" w:eastAsia="仿宋" w:cs="仿宋"/>
          <w:sz w:val="32"/>
          <w:szCs w:val="32"/>
        </w:rPr>
        <w:t xml:space="preserve">    建议：相关部门根据防疫要求，结合学校实际制定有针对性的隔离须知并张贴于隔离点显著位置。</w:t>
      </w:r>
    </w:p>
    <w:p>
      <w:pPr>
        <w:numPr>
          <w:ilvl w:val="0"/>
          <w:numId w:val="2"/>
        </w:numPr>
        <w:ind w:firstLine="640" w:firstLineChars="200"/>
        <w:jc w:val="left"/>
        <w:rPr>
          <w:rFonts w:ascii="仿宋" w:hAnsi="仿宋" w:eastAsia="仿宋" w:cs="仿宋"/>
          <w:sz w:val="32"/>
          <w:szCs w:val="32"/>
        </w:rPr>
      </w:pPr>
      <w:r>
        <w:rPr>
          <w:rFonts w:hint="eastAsia" w:ascii="仿宋" w:hAnsi="仿宋" w:eastAsia="仿宋" w:cs="仿宋"/>
          <w:sz w:val="32"/>
          <w:szCs w:val="32"/>
        </w:rPr>
        <w:t>房屋出租出借</w:t>
      </w:r>
      <w:r>
        <w:rPr>
          <w:rFonts w:hint="eastAsia" w:ascii="仿宋" w:hAnsi="仿宋" w:eastAsia="仿宋" w:cs="仿宋"/>
          <w:sz w:val="32"/>
          <w:szCs w:val="32"/>
          <w:lang w:val="en-US" w:eastAsia="zh-CN"/>
        </w:rPr>
        <w:t>带来的</w:t>
      </w:r>
      <w:bookmarkStart w:id="2" w:name="_GoBack"/>
      <w:bookmarkEnd w:id="2"/>
      <w:r>
        <w:rPr>
          <w:rFonts w:hint="eastAsia" w:ascii="仿宋" w:hAnsi="仿宋" w:eastAsia="仿宋" w:cs="仿宋"/>
          <w:sz w:val="32"/>
          <w:szCs w:val="32"/>
        </w:rPr>
        <w:t>防控管理</w:t>
      </w:r>
      <w:r>
        <w:rPr>
          <w:rFonts w:hint="eastAsia" w:ascii="仿宋" w:hAnsi="仿宋" w:eastAsia="仿宋" w:cs="仿宋"/>
          <w:sz w:val="32"/>
          <w:szCs w:val="32"/>
          <w:lang w:val="en-US" w:eastAsia="zh-CN"/>
        </w:rPr>
        <w:t>风险</w:t>
      </w:r>
    </w:p>
    <w:p>
      <w:pPr>
        <w:ind w:firstLine="640"/>
        <w:jc w:val="left"/>
        <w:rPr>
          <w:rFonts w:ascii="仿宋" w:hAnsi="仿宋" w:eastAsia="仿宋" w:cs="仿宋"/>
          <w:sz w:val="32"/>
          <w:szCs w:val="32"/>
        </w:rPr>
      </w:pPr>
      <w:r>
        <w:rPr>
          <w:rFonts w:hint="eastAsia" w:ascii="仿宋" w:hAnsi="仿宋" w:eastAsia="仿宋" w:cs="仿宋"/>
          <w:sz w:val="32"/>
          <w:szCs w:val="32"/>
        </w:rPr>
        <w:t>校内住房出租出借现象比较普遍，承租人员进出校园，给疫情防控带来管理难度和风险。房屋出租出借情况要进一步摸清底数，保证强化管理。</w:t>
      </w:r>
    </w:p>
    <w:p>
      <w:pPr>
        <w:ind w:firstLine="640"/>
        <w:jc w:val="left"/>
        <w:rPr>
          <w:rFonts w:ascii="仿宋" w:hAnsi="仿宋" w:eastAsia="仿宋" w:cs="仿宋"/>
          <w:sz w:val="32"/>
          <w:szCs w:val="32"/>
        </w:rPr>
      </w:pPr>
      <w:r>
        <w:rPr>
          <w:rFonts w:hint="eastAsia" w:ascii="仿宋" w:hAnsi="仿宋" w:eastAsia="仿宋" w:cs="仿宋"/>
          <w:sz w:val="32"/>
          <w:szCs w:val="32"/>
        </w:rPr>
        <w:t>建议：抓紧摸排公租房、公有住房出租出借的详细情况，有关问题移交房产管理部门按制度规定处理。及时掌握承租人返校入住等情况，动态管理，精准施策。</w:t>
      </w:r>
    </w:p>
    <w:p>
      <w:pPr>
        <w:numPr>
          <w:ilvl w:val="0"/>
          <w:numId w:val="2"/>
        </w:numPr>
        <w:ind w:firstLine="640" w:firstLineChars="200"/>
        <w:jc w:val="left"/>
        <w:rPr>
          <w:rFonts w:ascii="仿宋" w:hAnsi="仿宋" w:eastAsia="仿宋" w:cs="仿宋"/>
          <w:sz w:val="32"/>
          <w:szCs w:val="32"/>
        </w:rPr>
      </w:pPr>
      <w:r>
        <w:rPr>
          <w:rFonts w:hint="eastAsia" w:ascii="仿宋" w:hAnsi="仿宋" w:eastAsia="仿宋" w:cs="仿宋"/>
          <w:sz w:val="32"/>
          <w:szCs w:val="32"/>
        </w:rPr>
        <w:t>防疫物资供应与教学办公防控需要仍差距。各部门和各学院近期来校开展工作的职工较多，一线工作人员希望能够按照防疫要求配发口罩。</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建议：学校加强口罩的采购力度，分发口罩时向因工作需要频繁到校办公的职工倾斜。</w:t>
      </w:r>
    </w:p>
    <w:p>
      <w:pPr>
        <w:numPr>
          <w:ilvl w:val="0"/>
          <w:numId w:val="2"/>
        </w:numPr>
        <w:ind w:firstLine="640" w:firstLineChars="200"/>
        <w:jc w:val="left"/>
        <w:rPr>
          <w:rFonts w:ascii="仿宋" w:hAnsi="仿宋" w:eastAsia="仿宋" w:cs="仿宋"/>
          <w:sz w:val="32"/>
          <w:szCs w:val="32"/>
        </w:rPr>
      </w:pPr>
      <w:r>
        <w:rPr>
          <w:rFonts w:hint="eastAsia" w:ascii="仿宋" w:hAnsi="仿宋" w:eastAsia="仿宋" w:cs="仿宋"/>
          <w:sz w:val="32"/>
          <w:szCs w:val="32"/>
        </w:rPr>
        <w:t>部分学院提出学校线上教学管理系统应当授权给学院管理人员一定的监督检查权限，以利于更好开展院级教学监督检查。</w:t>
      </w:r>
    </w:p>
    <w:p>
      <w:pPr>
        <w:numPr>
          <w:ilvl w:val="0"/>
          <w:numId w:val="2"/>
        </w:numPr>
        <w:ind w:firstLine="640" w:firstLineChars="200"/>
        <w:jc w:val="left"/>
        <w:rPr>
          <w:rFonts w:ascii="仿宋" w:hAnsi="仿宋" w:eastAsia="仿宋" w:cs="仿宋"/>
          <w:sz w:val="32"/>
          <w:szCs w:val="32"/>
        </w:rPr>
      </w:pPr>
      <w:r>
        <w:rPr>
          <w:rFonts w:hint="eastAsia" w:ascii="仿宋" w:hAnsi="仿宋" w:eastAsia="仿宋" w:cs="仿宋"/>
          <w:sz w:val="32"/>
          <w:szCs w:val="32"/>
        </w:rPr>
        <w:t>外地教职工返校后，行程信息上报是否真实准确，居家隔离是否规范是当前疫情工作的一个高风险点和难点，各责任部门应当采取灵活有效的方式开展有针对性的管控工作，确保疫情防控工作不出差错和纰漏。</w:t>
      </w:r>
    </w:p>
    <w:p>
      <w:pPr>
        <w:numPr>
          <w:ilvl w:val="0"/>
          <w:numId w:val="2"/>
        </w:numPr>
        <w:ind w:firstLine="640" w:firstLineChars="200"/>
        <w:jc w:val="left"/>
        <w:rPr>
          <w:rFonts w:ascii="仿宋" w:hAnsi="仿宋" w:eastAsia="仿宋" w:cs="仿宋"/>
          <w:sz w:val="32"/>
          <w:szCs w:val="32"/>
        </w:rPr>
      </w:pPr>
      <w:r>
        <w:rPr>
          <w:rFonts w:hint="eastAsia" w:ascii="仿宋" w:hAnsi="仿宋" w:eastAsia="仿宋" w:cs="仿宋"/>
          <w:sz w:val="32"/>
          <w:szCs w:val="32"/>
        </w:rPr>
        <w:t>二级党组织要充分发挥政治核心作用，基层党组织要发挥战斗堡垒的作用，</w:t>
      </w:r>
      <w:r>
        <w:rPr>
          <w:rFonts w:ascii="仿宋" w:hAnsi="仿宋" w:eastAsia="仿宋" w:cs="仿宋"/>
          <w:sz w:val="32"/>
          <w:szCs w:val="32"/>
        </w:rPr>
        <w:t>党员</w:t>
      </w:r>
      <w:r>
        <w:rPr>
          <w:rFonts w:hint="eastAsia" w:ascii="仿宋" w:hAnsi="仿宋" w:eastAsia="仿宋" w:cs="仿宋"/>
          <w:sz w:val="32"/>
          <w:szCs w:val="32"/>
        </w:rPr>
        <w:t>要发挥</w:t>
      </w:r>
      <w:r>
        <w:rPr>
          <w:rFonts w:ascii="仿宋" w:hAnsi="仿宋" w:eastAsia="仿宋" w:cs="仿宋"/>
          <w:sz w:val="32"/>
          <w:szCs w:val="32"/>
        </w:rPr>
        <w:t>先锋模范作用</w:t>
      </w:r>
      <w:r>
        <w:rPr>
          <w:rFonts w:hint="eastAsia" w:ascii="仿宋" w:hAnsi="仿宋" w:eastAsia="仿宋" w:cs="仿宋"/>
          <w:sz w:val="32"/>
          <w:szCs w:val="32"/>
        </w:rPr>
        <w:t>，进一步</w:t>
      </w:r>
      <w:r>
        <w:rPr>
          <w:rFonts w:ascii="仿宋" w:hAnsi="仿宋" w:eastAsia="仿宋" w:cs="仿宋"/>
          <w:sz w:val="32"/>
          <w:szCs w:val="32"/>
        </w:rPr>
        <w:t>提高政治站位，严格</w:t>
      </w:r>
      <w:r>
        <w:rPr>
          <w:rFonts w:hint="eastAsia" w:ascii="仿宋" w:hAnsi="仿宋" w:eastAsia="仿宋" w:cs="仿宋"/>
          <w:sz w:val="32"/>
          <w:szCs w:val="32"/>
        </w:rPr>
        <w:t>落实各项</w:t>
      </w:r>
      <w:r>
        <w:rPr>
          <w:rFonts w:ascii="仿宋" w:hAnsi="仿宋" w:eastAsia="仿宋" w:cs="仿宋"/>
          <w:sz w:val="32"/>
          <w:szCs w:val="32"/>
        </w:rPr>
        <w:t>管控措施</w:t>
      </w:r>
      <w:r>
        <w:rPr>
          <w:rFonts w:hint="eastAsia" w:ascii="仿宋" w:hAnsi="仿宋" w:eastAsia="仿宋" w:cs="仿宋"/>
          <w:sz w:val="32"/>
          <w:szCs w:val="32"/>
        </w:rPr>
        <w:t>，切实做到守土有责，守土尽责。</w:t>
      </w:r>
      <w:r>
        <w:rPr>
          <w:rFonts w:hint="eastAsia" w:ascii="仿宋" w:hAnsi="仿宋" w:eastAsia="仿宋" w:cs="仿宋"/>
          <w:sz w:val="32"/>
          <w:szCs w:val="32"/>
          <w:lang w:val="en-US" w:eastAsia="zh-CN"/>
        </w:rPr>
        <w:t>各级党组织要</w:t>
      </w:r>
      <w:r>
        <w:rPr>
          <w:rFonts w:hint="eastAsia" w:ascii="仿宋" w:hAnsi="仿宋" w:eastAsia="仿宋" w:cs="仿宋"/>
          <w:sz w:val="32"/>
          <w:szCs w:val="32"/>
        </w:rPr>
        <w:t>强化政治责任，强化工作检查，强化防控意识，</w:t>
      </w:r>
      <w:r>
        <w:rPr>
          <w:rFonts w:hint="eastAsia" w:ascii="仿宋" w:hAnsi="仿宋" w:eastAsia="仿宋" w:cs="仿宋"/>
          <w:sz w:val="32"/>
          <w:szCs w:val="32"/>
          <w:lang w:val="en-US" w:eastAsia="zh-CN"/>
        </w:rPr>
        <w:t>严明纪律要求，</w:t>
      </w:r>
      <w:r>
        <w:rPr>
          <w:rFonts w:hint="eastAsia" w:ascii="仿宋" w:hAnsi="仿宋" w:eastAsia="仿宋" w:cs="仿宋"/>
          <w:sz w:val="32"/>
          <w:szCs w:val="32"/>
        </w:rPr>
        <w:t>通过严格的监督举措促履责抓落实，实现纪律监督的</w:t>
      </w:r>
      <w:r>
        <w:rPr>
          <w:rFonts w:hint="eastAsia" w:ascii="仿宋" w:hAnsi="仿宋" w:eastAsia="仿宋" w:cs="仿宋"/>
          <w:sz w:val="32"/>
          <w:szCs w:val="32"/>
          <w:lang w:val="en-US" w:eastAsia="zh-CN"/>
        </w:rPr>
        <w:t>实时化</w:t>
      </w:r>
      <w:r>
        <w:rPr>
          <w:rFonts w:hint="eastAsia" w:ascii="仿宋" w:hAnsi="仿宋" w:eastAsia="仿宋" w:cs="仿宋"/>
          <w:sz w:val="32"/>
          <w:szCs w:val="32"/>
        </w:rPr>
        <w:t>、规范化、常态化，</w:t>
      </w:r>
      <w:r>
        <w:rPr>
          <w:rFonts w:hint="eastAsia" w:ascii="仿宋" w:hAnsi="仿宋" w:eastAsia="仿宋" w:cs="仿宋"/>
          <w:sz w:val="32"/>
          <w:szCs w:val="32"/>
          <w:lang w:val="en-US" w:eastAsia="zh-CN"/>
        </w:rPr>
        <w:t>为</w:t>
      </w:r>
      <w:r>
        <w:rPr>
          <w:rFonts w:hint="eastAsia" w:ascii="仿宋" w:hAnsi="仿宋" w:eastAsia="仿宋" w:cs="仿宋"/>
          <w:sz w:val="32"/>
          <w:szCs w:val="32"/>
        </w:rPr>
        <w:t>打赢疫情防控人民战争、总体战、阻击战提供坚强的纪律保障</w:t>
      </w:r>
      <w:r>
        <w:rPr>
          <w:rFonts w:hint="eastAsia" w:ascii="仿宋" w:hAnsi="仿宋" w:eastAsia="仿宋" w:cs="仿宋"/>
          <w:sz w:val="32"/>
          <w:szCs w:val="32"/>
          <w:lang w:eastAsia="zh-CN"/>
        </w:rPr>
        <w:t>。</w:t>
      </w:r>
    </w:p>
    <w:p>
      <w:pPr>
        <w:spacing w:line="500" w:lineRule="exact"/>
        <w:jc w:val="left"/>
        <w:rPr>
          <w:rFonts w:ascii="仿宋" w:hAnsi="仿宋" w:eastAsia="仿宋" w:cs="仿宋"/>
          <w:sz w:val="32"/>
          <w:szCs w:val="32"/>
        </w:rPr>
      </w:pPr>
    </w:p>
    <w:p>
      <w:pPr>
        <w:spacing w:line="500" w:lineRule="exact"/>
        <w:jc w:val="left"/>
        <w:rPr>
          <w:rFonts w:ascii="仿宋" w:hAnsi="仿宋" w:eastAsia="仿宋" w:cs="仿宋"/>
          <w:sz w:val="32"/>
          <w:szCs w:val="32"/>
        </w:rPr>
      </w:pPr>
    </w:p>
    <w:p>
      <w:pPr>
        <w:spacing w:line="500" w:lineRule="exact"/>
        <w:jc w:val="left"/>
        <w:rPr>
          <w:rFonts w:ascii="仿宋" w:hAnsi="仿宋" w:eastAsia="仿宋" w:cs="仿宋"/>
          <w:sz w:val="32"/>
          <w:szCs w:val="32"/>
        </w:rPr>
      </w:pPr>
    </w:p>
    <w:p>
      <w:pPr>
        <w:spacing w:line="500" w:lineRule="exact"/>
        <w:jc w:val="left"/>
        <w:rPr>
          <w:rFonts w:ascii="仿宋" w:hAnsi="仿宋" w:eastAsia="仿宋" w:cs="仿宋"/>
          <w:sz w:val="32"/>
          <w:szCs w:val="32"/>
        </w:rPr>
      </w:pPr>
      <w:r>
        <w:rPr>
          <w:sz w:val="32"/>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161290</wp:posOffset>
                </wp:positionV>
                <wp:extent cx="6264910" cy="14605"/>
                <wp:effectExtent l="0" t="4445" r="2540" b="9525"/>
                <wp:wrapNone/>
                <wp:docPr id="3" name="直接连接符 3"/>
                <wp:cNvGraphicFramePr/>
                <a:graphic xmlns:a="http://schemas.openxmlformats.org/drawingml/2006/main">
                  <a:graphicData uri="http://schemas.microsoft.com/office/word/2010/wordprocessingShape">
                    <wps:wsp>
                      <wps:cNvCnPr/>
                      <wps:spPr>
                        <a:xfrm>
                          <a:off x="757555" y="6790690"/>
                          <a:ext cx="6264910" cy="1460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8.4pt;margin-top:12.7pt;height:1.15pt;width:493.3pt;z-index:251659264;mso-width-relative:page;mso-height-relative:page;" filled="f" stroked="t" coordsize="21600,21600" o:gfxdata="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fyexI2QAAAAkBAAAPAAAAAAAA&#10;AAEAIAAAACIAAABkcnMvZG93bnJldi54bWxQSwECFAAUAAAACACHTuJAw2hCodgBAABzAwAADgAA&#10;AAAAAAABACAAAAAoAQAAZHJzL2Uyb0RvYy54bWxQSwUGAAAAAAYABgBZAQAAcgUAAAAA&#10;">
                <v:fill on="f" focussize="0,0"/>
                <v:stroke weight="1.5pt" color="#000000 [3200]" miterlimit="8" joinstyle="miter"/>
                <v:imagedata o:title=""/>
                <o:lock v:ext="edit" aspectratio="f"/>
              </v:line>
            </w:pict>
          </mc:Fallback>
        </mc:AlternateContent>
      </w:r>
    </w:p>
    <w:p>
      <w:pPr>
        <w:spacing w:line="500" w:lineRule="exact"/>
        <w:jc w:val="left"/>
        <w:rPr>
          <w:rFonts w:ascii="仿宋" w:hAnsi="仿宋" w:eastAsia="仿宋" w:cs="仿宋"/>
          <w:sz w:val="32"/>
          <w:szCs w:val="32"/>
        </w:rPr>
      </w:pPr>
      <w:r>
        <w:rPr>
          <w:rFonts w:hint="eastAsia" w:ascii="仿宋" w:hAnsi="仿宋" w:eastAsia="仿宋" w:cs="仿宋"/>
          <w:sz w:val="32"/>
          <w:szCs w:val="32"/>
        </w:rPr>
        <w:t>报送：校领导、党委常委、纪委委员</w:t>
      </w:r>
    </w:p>
    <w:p>
      <w:pPr>
        <w:spacing w:line="500" w:lineRule="exact"/>
        <w:jc w:val="left"/>
        <w:rPr>
          <w:rFonts w:ascii="仿宋" w:hAnsi="仿宋" w:eastAsia="仿宋" w:cs="仿宋"/>
          <w:sz w:val="32"/>
          <w:szCs w:val="32"/>
        </w:rPr>
      </w:pPr>
      <w:r>
        <w:rPr>
          <w:rFonts w:hint="eastAsia" w:ascii="仿宋" w:hAnsi="仿宋" w:eastAsia="仿宋" w:cs="仿宋"/>
          <w:sz w:val="32"/>
          <w:szCs w:val="32"/>
        </w:rPr>
        <w:t>发送：</w:t>
      </w:r>
      <w:r>
        <w:rPr>
          <w:rFonts w:hint="eastAsia" w:ascii="仿宋" w:hAnsi="仿宋" w:eastAsia="仿宋" w:cs="仿宋"/>
          <w:sz w:val="32"/>
          <w:szCs w:val="32"/>
          <w:lang w:val="en-US" w:eastAsia="zh-CN"/>
        </w:rPr>
        <w:t>各相关部门</w:t>
      </w:r>
      <w:r>
        <w:rPr>
          <w:rFonts w:hint="eastAsia" w:ascii="仿宋" w:hAnsi="仿宋" w:eastAsia="仿宋" w:cs="仿宋"/>
          <w:sz w:val="32"/>
          <w:szCs w:val="32"/>
        </w:rPr>
        <w:t xml:space="preserve">                        </w:t>
      </w:r>
    </w:p>
    <w:sectPr>
      <w:pgSz w:w="11906" w:h="16838"/>
      <w:pgMar w:top="1440" w:right="1418" w:bottom="1440"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E34AC1"/>
    <w:multiLevelType w:val="singleLevel"/>
    <w:tmpl w:val="81E34AC1"/>
    <w:lvl w:ilvl="0" w:tentative="0">
      <w:start w:val="1"/>
      <w:numFmt w:val="chineseCounting"/>
      <w:suff w:val="nothing"/>
      <w:lvlText w:val="%1、"/>
      <w:lvlJc w:val="left"/>
      <w:rPr>
        <w:rFonts w:hint="eastAsia"/>
      </w:rPr>
    </w:lvl>
  </w:abstractNum>
  <w:abstractNum w:abstractNumId="1">
    <w:nsid w:val="9D4E0F95"/>
    <w:multiLevelType w:val="singleLevel"/>
    <w:tmpl w:val="9D4E0F95"/>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98305B"/>
    <w:rsid w:val="00035658"/>
    <w:rsid w:val="002108E8"/>
    <w:rsid w:val="00297F68"/>
    <w:rsid w:val="003E525A"/>
    <w:rsid w:val="00662318"/>
    <w:rsid w:val="00AA065A"/>
    <w:rsid w:val="00B01942"/>
    <w:rsid w:val="00DD054A"/>
    <w:rsid w:val="00EC3079"/>
    <w:rsid w:val="00EE7CD7"/>
    <w:rsid w:val="037560B6"/>
    <w:rsid w:val="05740407"/>
    <w:rsid w:val="0C9D115E"/>
    <w:rsid w:val="13DA79AB"/>
    <w:rsid w:val="151745CC"/>
    <w:rsid w:val="15486FC5"/>
    <w:rsid w:val="1E0C1BF0"/>
    <w:rsid w:val="20596119"/>
    <w:rsid w:val="22BB4565"/>
    <w:rsid w:val="22C95BA0"/>
    <w:rsid w:val="253078BE"/>
    <w:rsid w:val="2CD403F4"/>
    <w:rsid w:val="2CF56F52"/>
    <w:rsid w:val="2D98305B"/>
    <w:rsid w:val="2F27221F"/>
    <w:rsid w:val="332F168D"/>
    <w:rsid w:val="33611F2A"/>
    <w:rsid w:val="34652410"/>
    <w:rsid w:val="34D64A86"/>
    <w:rsid w:val="3A8655FC"/>
    <w:rsid w:val="3FAC759B"/>
    <w:rsid w:val="43B162E0"/>
    <w:rsid w:val="4AC30A5C"/>
    <w:rsid w:val="4DF7112D"/>
    <w:rsid w:val="4EEB6117"/>
    <w:rsid w:val="508A3E9D"/>
    <w:rsid w:val="5184105B"/>
    <w:rsid w:val="51FF7AC5"/>
    <w:rsid w:val="552569C5"/>
    <w:rsid w:val="56B537B6"/>
    <w:rsid w:val="57A90DD2"/>
    <w:rsid w:val="5A50150F"/>
    <w:rsid w:val="5C421D4F"/>
    <w:rsid w:val="5FAE7156"/>
    <w:rsid w:val="61517BB1"/>
    <w:rsid w:val="65581E53"/>
    <w:rsid w:val="65F664A9"/>
    <w:rsid w:val="66196A03"/>
    <w:rsid w:val="6D3C57E0"/>
    <w:rsid w:val="6DC14DB9"/>
    <w:rsid w:val="6F385BD3"/>
    <w:rsid w:val="6F3D36AC"/>
    <w:rsid w:val="6F9D27A4"/>
    <w:rsid w:val="6FAA2560"/>
    <w:rsid w:val="72C254B8"/>
    <w:rsid w:val="733D750C"/>
    <w:rsid w:val="73F55F2D"/>
    <w:rsid w:val="75D56770"/>
    <w:rsid w:val="7BD95D9E"/>
    <w:rsid w:val="7D8E6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9"/>
    <w:qFormat/>
    <w:uiPriority w:val="0"/>
    <w:pPr>
      <w:ind w:left="100" w:leftChars="2500"/>
    </w:pPr>
  </w:style>
  <w:style w:type="paragraph" w:styleId="3">
    <w:name w:val="Balloon Text"/>
    <w:basedOn w:val="1"/>
    <w:link w:val="20"/>
    <w:qFormat/>
    <w:uiPriority w:val="0"/>
    <w:rPr>
      <w:sz w:val="18"/>
      <w:szCs w:val="18"/>
    </w:rPr>
  </w:style>
  <w:style w:type="paragraph" w:styleId="4">
    <w:name w:val="footer"/>
    <w:basedOn w:val="1"/>
    <w:link w:val="18"/>
    <w:uiPriority w:val="0"/>
    <w:pPr>
      <w:tabs>
        <w:tab w:val="center" w:pos="4153"/>
        <w:tab w:val="right" w:pos="8306"/>
      </w:tabs>
      <w:snapToGrid w:val="0"/>
      <w:jc w:val="left"/>
    </w:pPr>
    <w:rPr>
      <w:sz w:val="18"/>
      <w:szCs w:val="18"/>
    </w:rPr>
  </w:style>
  <w:style w:type="paragraph" w:styleId="5">
    <w:name w:val="header"/>
    <w:basedOn w:val="1"/>
    <w:link w:val="17"/>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spacing w:beforeAutospacing="1" w:afterAutospacing="1"/>
      <w:jc w:val="left"/>
    </w:pPr>
    <w:rPr>
      <w:rFonts w:cs="Times New Roman"/>
      <w:kern w:val="0"/>
      <w:sz w:val="24"/>
    </w:rPr>
  </w:style>
  <w:style w:type="character" w:styleId="9">
    <w:name w:val="FollowedHyperlink"/>
    <w:basedOn w:val="8"/>
    <w:qFormat/>
    <w:uiPriority w:val="0"/>
    <w:rPr>
      <w:rFonts w:hint="default" w:ascii="sans-serif" w:hAnsi="sans-serif" w:eastAsia="sans-serif" w:cs="sans-serif"/>
      <w:color w:val="000000"/>
      <w:u w:val="none"/>
    </w:rPr>
  </w:style>
  <w:style w:type="character" w:styleId="10">
    <w:name w:val="Emphasis"/>
    <w:basedOn w:val="8"/>
    <w:qFormat/>
    <w:uiPriority w:val="0"/>
  </w:style>
  <w:style w:type="character" w:styleId="11">
    <w:name w:val="HTML Definition"/>
    <w:basedOn w:val="8"/>
    <w:uiPriority w:val="0"/>
  </w:style>
  <w:style w:type="character" w:styleId="12">
    <w:name w:val="HTML Acronym"/>
    <w:basedOn w:val="8"/>
    <w:uiPriority w:val="0"/>
  </w:style>
  <w:style w:type="character" w:styleId="13">
    <w:name w:val="HTML Variable"/>
    <w:basedOn w:val="8"/>
    <w:uiPriority w:val="0"/>
  </w:style>
  <w:style w:type="character" w:styleId="14">
    <w:name w:val="Hyperlink"/>
    <w:basedOn w:val="8"/>
    <w:uiPriority w:val="0"/>
    <w:rPr>
      <w:rFonts w:ascii="sans-serif" w:hAnsi="sans-serif" w:eastAsia="sans-serif" w:cs="sans-serif"/>
      <w:color w:val="000000"/>
      <w:u w:val="none"/>
    </w:rPr>
  </w:style>
  <w:style w:type="character" w:styleId="15">
    <w:name w:val="HTML Code"/>
    <w:basedOn w:val="8"/>
    <w:uiPriority w:val="0"/>
    <w:rPr>
      <w:rFonts w:ascii="Courier New" w:hAnsi="Courier New"/>
      <w:sz w:val="20"/>
    </w:rPr>
  </w:style>
  <w:style w:type="character" w:styleId="16">
    <w:name w:val="HTML Cite"/>
    <w:basedOn w:val="8"/>
    <w:uiPriority w:val="0"/>
  </w:style>
  <w:style w:type="character" w:customStyle="1" w:styleId="17">
    <w:name w:val="页眉 字符"/>
    <w:basedOn w:val="8"/>
    <w:link w:val="5"/>
    <w:uiPriority w:val="0"/>
    <w:rPr>
      <w:rFonts w:asciiTheme="minorHAnsi" w:hAnsiTheme="minorHAnsi" w:eastAsiaTheme="minorEastAsia" w:cstheme="minorBidi"/>
      <w:kern w:val="2"/>
      <w:sz w:val="18"/>
      <w:szCs w:val="18"/>
    </w:rPr>
  </w:style>
  <w:style w:type="character" w:customStyle="1" w:styleId="18">
    <w:name w:val="页脚 字符"/>
    <w:basedOn w:val="8"/>
    <w:link w:val="4"/>
    <w:uiPriority w:val="0"/>
    <w:rPr>
      <w:rFonts w:asciiTheme="minorHAnsi" w:hAnsiTheme="minorHAnsi" w:eastAsiaTheme="minorEastAsia" w:cstheme="minorBidi"/>
      <w:kern w:val="2"/>
      <w:sz w:val="18"/>
      <w:szCs w:val="18"/>
    </w:rPr>
  </w:style>
  <w:style w:type="character" w:customStyle="1" w:styleId="19">
    <w:name w:val="日期 字符"/>
    <w:basedOn w:val="8"/>
    <w:link w:val="2"/>
    <w:uiPriority w:val="0"/>
    <w:rPr>
      <w:rFonts w:asciiTheme="minorHAnsi" w:hAnsiTheme="minorHAnsi" w:eastAsiaTheme="minorEastAsia" w:cstheme="minorBidi"/>
      <w:kern w:val="2"/>
      <w:sz w:val="21"/>
      <w:szCs w:val="24"/>
    </w:rPr>
  </w:style>
  <w:style w:type="character" w:customStyle="1" w:styleId="20">
    <w:name w:val="批注框文本 字符"/>
    <w:basedOn w:val="8"/>
    <w:link w:val="3"/>
    <w:uiPriority w:val="0"/>
    <w:rPr>
      <w:rFonts w:asciiTheme="minorHAnsi" w:hAnsiTheme="minorHAnsi" w:eastAsiaTheme="minorEastAsia" w:cstheme="minorBidi"/>
      <w:kern w:val="2"/>
      <w:sz w:val="18"/>
      <w:szCs w:val="18"/>
    </w:rPr>
  </w:style>
  <w:style w:type="character" w:customStyle="1" w:styleId="21">
    <w:name w:val="item-name"/>
    <w:basedOn w:val="8"/>
    <w:qFormat/>
    <w:uiPriority w:val="0"/>
  </w:style>
  <w:style w:type="character" w:customStyle="1" w:styleId="22">
    <w:name w:val="item-name1"/>
    <w:basedOn w:val="8"/>
    <w:qFormat/>
    <w:uiPriority w:val="0"/>
  </w:style>
  <w:style w:type="character" w:customStyle="1" w:styleId="23">
    <w:name w:val="column-name"/>
    <w:basedOn w:val="8"/>
    <w:uiPriority w:val="0"/>
    <w:rPr>
      <w:color w:val="FFFFFF"/>
    </w:rPr>
  </w:style>
  <w:style w:type="character" w:customStyle="1" w:styleId="24">
    <w:name w:val="column-name1"/>
    <w:basedOn w:val="8"/>
    <w:qFormat/>
    <w:uiPriority w:val="0"/>
    <w:rPr>
      <w:color w:val="EEEEEE"/>
    </w:rPr>
  </w:style>
  <w:style w:type="character" w:customStyle="1" w:styleId="25">
    <w:name w:val="yinti"/>
    <w:basedOn w:val="8"/>
    <w:uiPriority w:val="0"/>
    <w:rPr>
      <w:sz w:val="27"/>
      <w:szCs w:val="27"/>
    </w:rPr>
  </w:style>
  <w:style w:type="character" w:customStyle="1" w:styleId="26">
    <w:name w:val="xubox_tabnow"/>
    <w:basedOn w:val="8"/>
    <w:uiPriority w:val="0"/>
    <w:rPr>
      <w:bdr w:val="single" w:color="CCCCCC" w:sz="6" w:space="0"/>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375</Words>
  <Characters>2138</Characters>
  <Lines>17</Lines>
  <Paragraphs>5</Paragraphs>
  <TotalTime>22</TotalTime>
  <ScaleCrop>false</ScaleCrop>
  <LinksUpToDate>false</LinksUpToDate>
  <CharactersWithSpaces>2508</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2020-03-03T03:47:00Z</dcterms:created>
  <dc:creator>徐建平</dc:creator>
  <cp:lastModifiedBy>徐建平</cp:lastModifiedBy>
  <cp:lastPrinted>2020-03-09T09:32:01Z</cp:lastPrinted>
  <dcterms:modified xsi:type="dcterms:W3CDTF">2020-03-09T09:32:39Z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