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eastAsia="新宋体" w:cs="Times New Roman"/>
          <w:sz w:val="44"/>
          <w:szCs w:val="44"/>
        </w:rPr>
      </w:pPr>
    </w:p>
    <w:p>
      <w:pPr>
        <w:spacing w:line="360" w:lineRule="auto"/>
        <w:jc w:val="center"/>
        <w:rPr>
          <w:rFonts w:ascii="Times New Roman" w:hAnsi="Times New Roman" w:eastAsia="隶书" w:cs="Times New Roman"/>
          <w:sz w:val="150"/>
          <w:szCs w:val="150"/>
        </w:rPr>
      </w:pPr>
      <w:r>
        <w:rPr>
          <w:rFonts w:ascii="Times New Roman" w:hAnsi="Times New Roman" w:eastAsia="隶书" w:cs="Times New Roman"/>
          <w:color w:val="FF0000"/>
          <w:sz w:val="150"/>
          <w:szCs w:val="150"/>
        </w:rPr>
        <w:t>监 督 专 报</w:t>
      </w:r>
    </w:p>
    <w:p>
      <w:pPr>
        <w:spacing w:line="500" w:lineRule="exact"/>
        <w:ind w:firstLine="643" w:firstLineChars="200"/>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202</w:t>
      </w:r>
      <w:r>
        <w:rPr>
          <w:rFonts w:hint="eastAsia" w:ascii="Times New Roman" w:hAnsi="Times New Roman" w:eastAsia="仿宋_GB2312" w:cs="Times New Roman"/>
          <w:b/>
          <w:bCs/>
          <w:sz w:val="32"/>
          <w:szCs w:val="32"/>
          <w:lang w:val="en-US" w:eastAsia="zh-CN"/>
        </w:rPr>
        <w:t>1</w:t>
      </w:r>
      <w:r>
        <w:rPr>
          <w:rFonts w:ascii="Times New Roman" w:hAnsi="Times New Roman" w:eastAsia="仿宋_GB2312" w:cs="Times New Roman"/>
          <w:b/>
          <w:bCs/>
          <w:sz w:val="32"/>
          <w:szCs w:val="32"/>
        </w:rPr>
        <w:t>年</w:t>
      </w:r>
      <w:r>
        <w:rPr>
          <w:rFonts w:hint="eastAsia" w:ascii="Times New Roman" w:hAnsi="Times New Roman" w:eastAsia="仿宋_GB2312" w:cs="Times New Roman"/>
          <w:b/>
          <w:bCs/>
          <w:sz w:val="32"/>
          <w:szCs w:val="32"/>
          <w:lang w:val="en-US" w:eastAsia="zh-CN"/>
        </w:rPr>
        <w:t>1</w:t>
      </w:r>
      <w:r>
        <w:rPr>
          <w:rFonts w:ascii="Times New Roman" w:hAnsi="Times New Roman" w:eastAsia="仿宋_GB2312" w:cs="Times New Roman"/>
          <w:b/>
          <w:bCs/>
          <w:sz w:val="32"/>
          <w:szCs w:val="32"/>
        </w:rPr>
        <w:t>号</w:t>
      </w:r>
    </w:p>
    <w:p>
      <w:pPr>
        <w:spacing w:line="500" w:lineRule="exact"/>
        <w:ind w:firstLine="562" w:firstLineChars="200"/>
        <w:jc w:val="center"/>
        <w:rPr>
          <w:rFonts w:hint="eastAsia"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28"/>
          <w:szCs w:val="28"/>
          <w:lang w:eastAsia="zh-CN"/>
        </w:rPr>
        <w:t>（</w:t>
      </w:r>
      <w:r>
        <w:rPr>
          <w:rFonts w:hint="eastAsia" w:ascii="Times New Roman" w:hAnsi="Times New Roman" w:eastAsia="仿宋_GB2312" w:cs="Times New Roman"/>
          <w:b/>
          <w:bCs/>
          <w:sz w:val="28"/>
          <w:szCs w:val="28"/>
          <w:lang w:val="en-US" w:eastAsia="zh-CN"/>
        </w:rPr>
        <w:t>总第8号</w:t>
      </w:r>
      <w:r>
        <w:rPr>
          <w:rFonts w:hint="eastAsia" w:ascii="Times New Roman" w:hAnsi="Times New Roman" w:eastAsia="仿宋_GB2312" w:cs="Times New Roman"/>
          <w:b/>
          <w:bCs/>
          <w:sz w:val="28"/>
          <w:szCs w:val="28"/>
          <w:lang w:eastAsia="zh-CN"/>
        </w:rPr>
        <w:t>）</w:t>
      </w:r>
    </w:p>
    <w:p>
      <w:pPr>
        <w:spacing w:line="320" w:lineRule="exact"/>
        <w:ind w:firstLine="280" w:firstLineChars="100"/>
        <w:jc w:val="left"/>
        <w:rPr>
          <w:rFonts w:ascii="Times New Roman" w:hAnsi="Times New Roman" w:eastAsia="仿宋" w:cs="Times New Roman"/>
          <w:sz w:val="32"/>
          <w:szCs w:val="32"/>
        </w:rPr>
      </w:pPr>
      <w:r>
        <w:rPr>
          <w:rFonts w:ascii="Times New Roman" w:hAnsi="Times New Roman" w:eastAsia="仿宋_GB2312" w:cs="Times New Roman"/>
          <w:sz w:val="28"/>
          <w:szCs w:val="28"/>
        </w:rPr>
        <w:t xml:space="preserve">纪委办    </w:t>
      </w: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 xml:space="preserve"> 202</w:t>
      </w:r>
      <w:r>
        <w:rPr>
          <w:rFonts w:hint="eastAsia" w:ascii="Times New Roman" w:hAnsi="Times New Roman" w:eastAsia="仿宋_GB2312" w:cs="Times New Roman"/>
          <w:sz w:val="28"/>
          <w:szCs w:val="28"/>
          <w:lang w:val="en-US" w:eastAsia="zh-CN"/>
        </w:rPr>
        <w:t>1</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4</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12</w:t>
      </w:r>
      <w:r>
        <w:rPr>
          <w:rFonts w:ascii="Times New Roman" w:hAnsi="Times New Roman" w:eastAsia="仿宋_GB2312" w:cs="Times New Roman"/>
          <w:sz w:val="28"/>
          <w:szCs w:val="28"/>
        </w:rPr>
        <w:t>日</w:t>
      </w:r>
      <w:r>
        <w:rPr>
          <w:rFonts w:ascii="Times New Roman" w:hAnsi="Times New Roman" w:eastAsia="仿宋" w:cs="Times New Roman"/>
          <w:sz w:val="32"/>
          <w:szCs w:val="32"/>
        </w:rPr>
        <w:t xml:space="preserve">           </w:t>
      </w:r>
    </w:p>
    <w:p>
      <w:pPr>
        <w:spacing w:line="320" w:lineRule="exact"/>
        <w:jc w:val="center"/>
        <w:rPr>
          <w:rFonts w:ascii="宋体" w:hAnsi="宋体" w:cs="宋体"/>
          <w:kern w:val="0"/>
          <w:sz w:val="24"/>
        </w:rPr>
      </w:pPr>
      <w:r>
        <w:rPr>
          <w:rFonts w:ascii="宋体" w:hAnsi="宋体" w:cs="宋体"/>
          <w:kern w:val="0"/>
          <w:sz w:val="24"/>
        </w:rPr>
        <w:pict>
          <v:rect id="_x0000_i1025" o:spt="1" style="height:2.5pt;width:429.25pt;" fillcolor="#FF0000" filled="t" stroked="f" coordsize="21600,21600" o:hr="t" o:hrstd="t" o:hrnoshade="t" o:hrpct="0" o:hralign="center">
            <v:path/>
            <v:fill on="t" focussize="0,0"/>
            <v:stroke on="f"/>
            <v:imagedata o:title=""/>
            <o:lock v:ext="edit"/>
            <w10:wrap type="none"/>
            <w10:anchorlock/>
          </v:rect>
        </w:pict>
      </w:r>
    </w:p>
    <w:p>
      <w:pPr>
        <w:spacing w:line="360" w:lineRule="auto"/>
        <w:jc w:val="center"/>
        <w:rPr>
          <w:rFonts w:ascii="Times New Roman" w:hAnsi="Times New Roman" w:eastAsia="新宋体" w:cs="Times New Roman"/>
          <w:sz w:val="44"/>
          <w:szCs w:val="44"/>
        </w:rPr>
      </w:pPr>
    </w:p>
    <w:p>
      <w:pPr>
        <w:spacing w:line="360" w:lineRule="auto"/>
        <w:jc w:val="center"/>
        <w:rPr>
          <w:rFonts w:ascii="Times New Roman" w:hAnsi="Times New Roman" w:eastAsia="方正小标宋简体" w:cs="Times New Roman"/>
          <w:sz w:val="44"/>
          <w:szCs w:val="44"/>
        </w:rPr>
      </w:pPr>
      <w:bookmarkStart w:id="0" w:name="_GoBack"/>
      <w:r>
        <w:rPr>
          <w:rFonts w:hint="eastAsia"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lang w:val="en-US" w:eastAsia="zh-CN"/>
        </w:rPr>
        <w:t>第5次</w:t>
      </w:r>
      <w:r>
        <w:rPr>
          <w:rFonts w:hint="eastAsia" w:ascii="Times New Roman" w:hAnsi="Times New Roman" w:eastAsia="方正小标宋简体" w:cs="Times New Roman"/>
          <w:sz w:val="44"/>
          <w:szCs w:val="44"/>
        </w:rPr>
        <w:t>巡视整改督查工作情况</w:t>
      </w:r>
      <w:r>
        <w:rPr>
          <w:rFonts w:hint="eastAsia" w:ascii="Times New Roman" w:hAnsi="Times New Roman" w:eastAsia="方正小标宋简体" w:cs="Times New Roman"/>
          <w:sz w:val="44"/>
          <w:szCs w:val="44"/>
          <w:lang w:val="en-US" w:eastAsia="zh-CN"/>
        </w:rPr>
        <w:t>的</w:t>
      </w:r>
      <w:r>
        <w:rPr>
          <w:rFonts w:hint="eastAsia" w:ascii="Times New Roman" w:hAnsi="Times New Roman" w:eastAsia="方正小标宋简体" w:cs="Times New Roman"/>
          <w:sz w:val="44"/>
          <w:szCs w:val="44"/>
        </w:rPr>
        <w:t>通报</w:t>
      </w:r>
      <w:bookmarkEnd w:id="0"/>
    </w:p>
    <w:p>
      <w:pPr>
        <w:ind w:firstLine="560" w:firstLineChars="200"/>
        <w:jc w:val="left"/>
        <w:rPr>
          <w:rFonts w:hint="eastAsia" w:ascii="仿宋_GB2312" w:eastAsia="仿宋_GB2312" w:hAnsiTheme="minorEastAsia"/>
          <w:sz w:val="28"/>
          <w:szCs w:val="28"/>
        </w:rPr>
      </w:pPr>
    </w:p>
    <w:p>
      <w:pPr>
        <w:ind w:firstLine="640" w:firstLineChars="200"/>
        <w:jc w:val="left"/>
        <w:rPr>
          <w:rFonts w:hint="eastAsia" w:ascii="仿宋_GB2312" w:eastAsia="仿宋_GB2312" w:hAnsiTheme="minorEastAsia"/>
          <w:sz w:val="32"/>
          <w:szCs w:val="32"/>
        </w:rPr>
      </w:pPr>
      <w:r>
        <w:rPr>
          <w:rFonts w:hint="eastAsia" w:ascii="仿宋_GB2312" w:eastAsia="仿宋_GB2312" w:hAnsiTheme="minorEastAsia"/>
          <w:sz w:val="32"/>
          <w:szCs w:val="32"/>
        </w:rPr>
        <w:t>为推动中央巡视安徽反馈问题以及省委巡视问题的整改，压实整改责任，学校</w:t>
      </w:r>
      <w:r>
        <w:rPr>
          <w:rFonts w:hint="eastAsia" w:ascii="仿宋_GB2312" w:eastAsia="仿宋_GB2312" w:hAnsiTheme="minorEastAsia"/>
          <w:sz w:val="32"/>
          <w:szCs w:val="32"/>
          <w:lang w:val="en-US" w:eastAsia="zh-CN"/>
        </w:rPr>
        <w:t>纪委</w:t>
      </w:r>
      <w:r>
        <w:rPr>
          <w:rFonts w:hint="eastAsia" w:ascii="仿宋_GB2312" w:eastAsia="仿宋_GB2312" w:hAnsiTheme="minorEastAsia"/>
          <w:sz w:val="32"/>
          <w:szCs w:val="32"/>
        </w:rPr>
        <w:t>组织开展了对中央巡视安徽反馈问题及省委巡视反馈问题整改第五次督查工作，同时对各学院党委（党总支）落实全面从严治党主体责任、党风廉政建设、意识形态工作责任制落实、师德师风建设、疫情防控等工作开展情况进行检查、调研。现将</w:t>
      </w:r>
      <w:r>
        <w:rPr>
          <w:rFonts w:hint="eastAsia" w:ascii="仿宋_GB2312" w:eastAsia="仿宋_GB2312" w:hAnsiTheme="minorEastAsia"/>
          <w:sz w:val="32"/>
          <w:szCs w:val="32"/>
          <w:lang w:val="en-US" w:eastAsia="zh-CN"/>
        </w:rPr>
        <w:t>督查</w:t>
      </w:r>
      <w:r>
        <w:rPr>
          <w:rFonts w:hint="eastAsia" w:ascii="仿宋_GB2312" w:eastAsia="仿宋_GB2312" w:hAnsiTheme="minorEastAsia"/>
          <w:sz w:val="32"/>
          <w:szCs w:val="32"/>
        </w:rPr>
        <w:t>情况</w:t>
      </w:r>
      <w:r>
        <w:rPr>
          <w:rFonts w:hint="eastAsia" w:ascii="仿宋_GB2312" w:eastAsia="仿宋_GB2312" w:hAnsiTheme="minorEastAsia"/>
          <w:sz w:val="32"/>
          <w:szCs w:val="32"/>
          <w:lang w:val="en-US" w:eastAsia="zh-CN"/>
        </w:rPr>
        <w:t>通报</w:t>
      </w:r>
      <w:r>
        <w:rPr>
          <w:rFonts w:hint="eastAsia" w:ascii="仿宋_GB2312" w:eastAsia="仿宋_GB2312" w:hAnsiTheme="minorEastAsia"/>
          <w:sz w:val="32"/>
          <w:szCs w:val="32"/>
        </w:rPr>
        <w:t>如下：</w:t>
      </w:r>
    </w:p>
    <w:p>
      <w:pPr>
        <w:ind w:firstLine="640" w:firstLineChars="200"/>
        <w:jc w:val="left"/>
        <w:rPr>
          <w:rFonts w:hint="eastAsia" w:ascii="黑体" w:hAnsi="黑体" w:eastAsia="黑体" w:cs="黑体"/>
          <w:sz w:val="32"/>
          <w:szCs w:val="32"/>
        </w:rPr>
      </w:pPr>
      <w:r>
        <w:rPr>
          <w:rFonts w:hint="eastAsia" w:ascii="黑体" w:hAnsi="黑体" w:eastAsia="黑体" w:cs="黑体"/>
          <w:sz w:val="32"/>
          <w:szCs w:val="32"/>
        </w:rPr>
        <w:t>一、总体情况</w:t>
      </w:r>
    </w:p>
    <w:p>
      <w:pPr>
        <w:ind w:firstLine="640" w:firstLineChars="200"/>
        <w:jc w:val="left"/>
        <w:rPr>
          <w:rFonts w:hint="eastAsia" w:ascii="仿宋_GB2312" w:eastAsia="仿宋_GB2312" w:hAnsiTheme="minorEastAsia"/>
          <w:sz w:val="32"/>
          <w:szCs w:val="32"/>
        </w:rPr>
      </w:pPr>
      <w:r>
        <w:rPr>
          <w:rFonts w:hint="eastAsia" w:ascii="仿宋_GB2312" w:eastAsia="仿宋_GB2312" w:hAnsiTheme="minorEastAsia"/>
          <w:sz w:val="32"/>
          <w:szCs w:val="32"/>
        </w:rPr>
        <w:t>学校成立了由校党委常委、纪委委员、党委职能部门负责人和业务骨干等组成的5个督查组，采取听取汇报、查阅工作台账和会议记录、核实工作进展情况等方式开展督查。校纪委书记、监察专员王红月随机参加了对部分学院的督查、调研。</w:t>
      </w:r>
    </w:p>
    <w:p>
      <w:pPr>
        <w:ind w:firstLine="640" w:firstLineChars="200"/>
        <w:jc w:val="left"/>
        <w:rPr>
          <w:rFonts w:hint="eastAsia" w:ascii="仿宋_GB2312" w:eastAsia="仿宋_GB2312" w:hAnsiTheme="minorEastAsia"/>
          <w:sz w:val="32"/>
          <w:szCs w:val="32"/>
        </w:rPr>
      </w:pPr>
      <w:r>
        <w:rPr>
          <w:rFonts w:hint="eastAsia" w:ascii="仿宋_GB2312" w:eastAsia="仿宋_GB2312" w:hAnsiTheme="minorEastAsia"/>
          <w:sz w:val="32"/>
          <w:szCs w:val="32"/>
        </w:rPr>
        <w:t>从督查情况来看，各二级学院党委（党总支）高度重视巡视整改工作，把中央巡视安徽反馈问题、省委巡视反馈问题及省委巡视整改成效评估反馈问题的整改作为当前最重要的政治任务，层层压实主体责任、书记第一责任及班子成员“一岗双责”，既强化共性问题整改，又梳理排查个性问题，建立台账并实行销号管理，推进整改不断取得实效。同时，按照“四个融入”的要求，统筹协调做好巡视整改、党史学习教育、新一轮深化“三个以案”警示教育及党建与事业发展等各项工作。</w:t>
      </w:r>
    </w:p>
    <w:p>
      <w:pPr>
        <w:ind w:firstLine="640" w:firstLineChars="200"/>
        <w:jc w:val="left"/>
        <w:rPr>
          <w:rFonts w:hint="eastAsia" w:ascii="黑体" w:hAnsi="黑体" w:eastAsia="黑体" w:cs="黑体"/>
          <w:sz w:val="32"/>
          <w:szCs w:val="32"/>
        </w:rPr>
      </w:pPr>
      <w:r>
        <w:rPr>
          <w:rFonts w:hint="eastAsia" w:ascii="黑体" w:hAnsi="黑体" w:eastAsia="黑体" w:cs="黑体"/>
          <w:sz w:val="32"/>
          <w:szCs w:val="32"/>
        </w:rPr>
        <w:t>二、存在的主要问题和建议</w:t>
      </w:r>
    </w:p>
    <w:p>
      <w:pPr>
        <w:ind w:firstLine="640" w:firstLineChars="200"/>
        <w:jc w:val="left"/>
        <w:rPr>
          <w:rFonts w:hint="eastAsia" w:ascii="仿宋_GB2312" w:eastAsia="仿宋_GB2312" w:hAnsiTheme="minorEastAsia"/>
          <w:sz w:val="32"/>
          <w:szCs w:val="32"/>
        </w:rPr>
      </w:pPr>
      <w:r>
        <w:rPr>
          <w:rFonts w:hint="eastAsia" w:ascii="仿宋_GB2312" w:eastAsia="仿宋_GB2312" w:hAnsiTheme="minorEastAsia"/>
          <w:sz w:val="32"/>
          <w:szCs w:val="32"/>
        </w:rPr>
        <w:t>从督查情况来看，还发现存在以下问题：</w:t>
      </w:r>
    </w:p>
    <w:p>
      <w:pPr>
        <w:ind w:firstLine="643" w:firstLineChars="200"/>
        <w:jc w:val="left"/>
        <w:rPr>
          <w:rFonts w:hint="eastAsia" w:ascii="楷体" w:hAnsi="楷体" w:eastAsia="楷体" w:cs="楷体"/>
          <w:b/>
          <w:bCs/>
          <w:sz w:val="32"/>
          <w:szCs w:val="32"/>
        </w:rPr>
      </w:pPr>
      <w:r>
        <w:rPr>
          <w:rFonts w:hint="eastAsia" w:ascii="楷体" w:hAnsi="楷体" w:eastAsia="楷体" w:cs="楷体"/>
          <w:b/>
          <w:bCs/>
          <w:sz w:val="32"/>
          <w:szCs w:val="32"/>
        </w:rPr>
        <w:t>1.全面整改长期整改的意识还需进一步强化</w:t>
      </w:r>
    </w:p>
    <w:p>
      <w:pPr>
        <w:ind w:firstLine="640" w:firstLineChars="200"/>
        <w:jc w:val="left"/>
        <w:rPr>
          <w:rFonts w:hint="eastAsia" w:ascii="仿宋_GB2312" w:eastAsia="仿宋_GB2312" w:hAnsiTheme="minorEastAsia"/>
          <w:sz w:val="32"/>
          <w:szCs w:val="32"/>
        </w:rPr>
      </w:pPr>
      <w:r>
        <w:rPr>
          <w:rFonts w:hint="eastAsia" w:ascii="仿宋_GB2312" w:eastAsia="仿宋_GB2312" w:hAnsiTheme="minorEastAsia"/>
          <w:sz w:val="32"/>
          <w:szCs w:val="32"/>
        </w:rPr>
        <w:t>省委巡视以来，学校各级党组织能提高政治站位，认真学习领会贯彻习近平总书记关于巡视工作的重要论述，扎实推进做好巡视“后半篇文章”，学院按照要求对共性问题进行整改，并梳理排查个性问题，建立台账实行销号管理，截至目前，省委巡视反馈的35个问题已基本完成整改，中央巡视安徽反馈问题正按学校整改台账扎实推进。</w:t>
      </w:r>
    </w:p>
    <w:p>
      <w:pPr>
        <w:ind w:firstLine="640" w:firstLineChars="200"/>
        <w:jc w:val="left"/>
        <w:rPr>
          <w:rFonts w:hint="eastAsia" w:ascii="仿宋_GB2312" w:eastAsia="仿宋_GB2312" w:hAnsiTheme="minorEastAsia"/>
          <w:sz w:val="32"/>
          <w:szCs w:val="32"/>
        </w:rPr>
      </w:pPr>
      <w:r>
        <w:rPr>
          <w:rFonts w:hint="eastAsia" w:ascii="仿宋_GB2312" w:eastAsia="仿宋_GB2312" w:hAnsiTheme="minorEastAsia"/>
          <w:sz w:val="32"/>
          <w:szCs w:val="32"/>
        </w:rPr>
        <w:t>但督查中发现，一些单位存在简单、孤立地紧盯巡视指出的具体问题开展整改的现象。</w:t>
      </w:r>
    </w:p>
    <w:p>
      <w:pPr>
        <w:ind w:firstLine="640" w:firstLineChars="200"/>
        <w:jc w:val="left"/>
        <w:rPr>
          <w:rFonts w:hint="eastAsia" w:ascii="仿宋_GB2312" w:eastAsia="仿宋_GB2312" w:hAnsiTheme="minorEastAsia"/>
          <w:sz w:val="32"/>
          <w:szCs w:val="32"/>
        </w:rPr>
      </w:pPr>
      <w:r>
        <w:rPr>
          <w:rFonts w:hint="eastAsia" w:ascii="仿宋_GB2312" w:eastAsia="仿宋_GB2312" w:hAnsiTheme="minorEastAsia"/>
          <w:sz w:val="32"/>
          <w:szCs w:val="32"/>
        </w:rPr>
        <w:t>建议全校各级党组织，要强化全面整改和长期整改的意识，对巡视反馈的问题，不能孤立、静止地看，要由点及面，见微知著，由此及彼，举一反三。整改要形成闭环，先解决具体事情，再举一反三，建立健全规章制度，再强化制度落实，整改要从措施看成效，从成效到长效；巡视整改没有完成时，只有进行时，整改是长期的过程，通过巡视整改不断完善治理体系，提高治理能力，优化政治生态，持续推进和保障学校改革发展各项事业高质量发展。</w:t>
      </w:r>
    </w:p>
    <w:p>
      <w:pPr>
        <w:ind w:firstLine="643" w:firstLineChars="200"/>
        <w:jc w:val="left"/>
        <w:rPr>
          <w:rFonts w:hint="eastAsia" w:ascii="楷体" w:hAnsi="楷体" w:eastAsia="楷体" w:cs="楷体"/>
          <w:b/>
          <w:bCs/>
          <w:sz w:val="32"/>
          <w:szCs w:val="32"/>
        </w:rPr>
      </w:pPr>
      <w:r>
        <w:rPr>
          <w:rFonts w:hint="eastAsia" w:ascii="楷体" w:hAnsi="楷体" w:eastAsia="楷体" w:cs="楷体"/>
          <w:b/>
          <w:bCs/>
          <w:sz w:val="32"/>
          <w:szCs w:val="32"/>
        </w:rPr>
        <w:t>2.教学管理工作仍需进一步优化</w:t>
      </w:r>
    </w:p>
    <w:p>
      <w:pPr>
        <w:ind w:firstLine="640" w:firstLineChars="200"/>
        <w:jc w:val="left"/>
        <w:rPr>
          <w:rFonts w:hint="eastAsia" w:ascii="仿宋_GB2312" w:eastAsia="仿宋_GB2312" w:hAnsiTheme="minorEastAsia"/>
          <w:sz w:val="32"/>
          <w:szCs w:val="32"/>
        </w:rPr>
      </w:pPr>
      <w:r>
        <w:rPr>
          <w:rFonts w:hint="eastAsia" w:ascii="仿宋_GB2312" w:eastAsia="仿宋_GB2312" w:hAnsiTheme="minorEastAsia"/>
          <w:sz w:val="32"/>
          <w:szCs w:val="32"/>
        </w:rPr>
        <w:t>督查中发现，省委巡视反馈的教学管理不科学问题仍然没有得到彻底解决，单从现象上看，上学期末一些课程考试不及格率仍然较高，甚至出现个别课程考试大多数学生不及格的情况。学校教学管理部门、各学院应当提高站位，统一认识，既着眼立德树人根本任务，又立足实际，精准把握培养对象的情况，既关注学生端存在的差距，也要认真分析教师端的问题，真正做到</w:t>
      </w:r>
      <w:r>
        <w:rPr>
          <w:rFonts w:hint="eastAsia" w:ascii="仿宋_GB2312" w:eastAsia="仿宋_GB2312" w:hAnsiTheme="minorEastAsia"/>
          <w:sz w:val="32"/>
          <w:szCs w:val="32"/>
          <w:lang w:val="en-US" w:eastAsia="zh-CN"/>
        </w:rPr>
        <w:t>完成本职本分工作任务，与为国育才成才情怀使命融合统一，</w:t>
      </w:r>
      <w:r>
        <w:rPr>
          <w:rFonts w:hint="eastAsia" w:ascii="仿宋_GB2312" w:eastAsia="仿宋_GB2312" w:hAnsiTheme="minorEastAsia"/>
          <w:sz w:val="32"/>
          <w:szCs w:val="32"/>
        </w:rPr>
        <w:t>学风建设与教风建设同向发力，改进教学与加强管理双管齐下，切实提高教学管理科学化、规范化水平，不断提高学校人才培养能力水平。</w:t>
      </w:r>
    </w:p>
    <w:p>
      <w:pPr>
        <w:ind w:firstLine="643" w:firstLineChars="200"/>
        <w:jc w:val="left"/>
        <w:rPr>
          <w:rFonts w:hint="eastAsia" w:ascii="楷体" w:hAnsi="楷体" w:eastAsia="楷体" w:cs="楷体"/>
          <w:b/>
          <w:bCs/>
          <w:sz w:val="32"/>
          <w:szCs w:val="32"/>
        </w:rPr>
      </w:pPr>
      <w:r>
        <w:rPr>
          <w:rFonts w:hint="eastAsia" w:ascii="楷体" w:hAnsi="楷体" w:eastAsia="楷体" w:cs="楷体"/>
          <w:b/>
          <w:bCs/>
          <w:sz w:val="32"/>
          <w:szCs w:val="32"/>
        </w:rPr>
        <w:t>3.师德师风建设有待进一步深化</w:t>
      </w:r>
    </w:p>
    <w:p>
      <w:pPr>
        <w:ind w:firstLine="640" w:firstLineChars="200"/>
        <w:jc w:val="left"/>
        <w:rPr>
          <w:rFonts w:hint="eastAsia" w:ascii="仿宋_GB2312" w:eastAsia="仿宋_GB2312" w:hAnsiTheme="minorEastAsia"/>
          <w:sz w:val="32"/>
          <w:szCs w:val="32"/>
        </w:rPr>
      </w:pPr>
      <w:r>
        <w:rPr>
          <w:rFonts w:hint="eastAsia" w:ascii="仿宋_GB2312" w:eastAsia="仿宋_GB2312" w:hAnsiTheme="minorEastAsia"/>
          <w:sz w:val="32"/>
          <w:szCs w:val="32"/>
        </w:rPr>
        <w:t>师德师风建设永远在路上。在全校“对标‘六要’标准，争做‘四有’好教师”专题教育、“教师思想政治教育强化年” 活动取得较好成效的基础上，学校今年将开展“教师思想政治工作巩固年”活动。</w:t>
      </w:r>
    </w:p>
    <w:p>
      <w:pPr>
        <w:ind w:firstLine="640" w:firstLineChars="200"/>
        <w:jc w:val="left"/>
        <w:rPr>
          <w:rFonts w:hint="eastAsia" w:ascii="仿宋_GB2312" w:eastAsia="仿宋_GB2312" w:hAnsiTheme="minorEastAsia"/>
          <w:sz w:val="32"/>
          <w:szCs w:val="32"/>
        </w:rPr>
      </w:pPr>
      <w:r>
        <w:rPr>
          <w:rFonts w:hint="eastAsia" w:ascii="仿宋_GB2312" w:eastAsia="仿宋_GB2312" w:hAnsiTheme="minorEastAsia"/>
          <w:sz w:val="32"/>
          <w:szCs w:val="32"/>
        </w:rPr>
        <w:t>建议结合党史学习教育和新一轮深化“三个以案”警示教育，引导教师对照《高等学校教师职业道德规范》《新时代高校教师职业行为十项准则》及《安徽省高等学校教师师德失范行为处理办法（试行）》梳理剖析，回归常识本分、回归初心梦想，潜心教书育人。各级组织应坚持以学生为中心的基本理念，教育引导、制度规范、监督约束、查处警示并重，进一步强化师德师风建设。</w:t>
      </w:r>
    </w:p>
    <w:p>
      <w:pPr>
        <w:ind w:firstLine="643" w:firstLineChars="200"/>
        <w:jc w:val="left"/>
        <w:rPr>
          <w:rFonts w:hint="eastAsia" w:ascii="楷体" w:hAnsi="楷体" w:eastAsia="楷体" w:cs="楷体"/>
          <w:b/>
          <w:bCs/>
          <w:sz w:val="32"/>
          <w:szCs w:val="32"/>
        </w:rPr>
      </w:pPr>
      <w:r>
        <w:rPr>
          <w:rFonts w:hint="eastAsia" w:ascii="楷体" w:hAnsi="楷体" w:eastAsia="楷体" w:cs="楷体"/>
          <w:b/>
          <w:bCs/>
          <w:sz w:val="32"/>
          <w:szCs w:val="32"/>
        </w:rPr>
        <w:t>4.全面从严治党和党风廉政建设等工作仍需进一步规范</w:t>
      </w:r>
    </w:p>
    <w:p>
      <w:pPr>
        <w:ind w:firstLine="640" w:firstLineChars="200"/>
        <w:jc w:val="left"/>
        <w:rPr>
          <w:rFonts w:hint="eastAsia" w:ascii="仿宋_GB2312" w:eastAsia="仿宋_GB2312" w:hAnsiTheme="minorEastAsia"/>
          <w:sz w:val="32"/>
          <w:szCs w:val="32"/>
        </w:rPr>
      </w:pPr>
      <w:r>
        <w:rPr>
          <w:rFonts w:hint="eastAsia" w:ascii="仿宋_GB2312" w:eastAsia="仿宋_GB2312" w:hAnsiTheme="minorEastAsia"/>
          <w:sz w:val="32"/>
          <w:szCs w:val="32"/>
        </w:rPr>
        <w:t>督查组还专门就全面从严治党、党风廉政建设、意识形态责任制落实、基层组织建设、疫情防控等工作开展情况进行检查、调研。</w:t>
      </w:r>
    </w:p>
    <w:p>
      <w:pPr>
        <w:ind w:firstLine="640" w:firstLineChars="200"/>
        <w:jc w:val="left"/>
        <w:rPr>
          <w:rFonts w:hint="eastAsia" w:ascii="仿宋_GB2312" w:eastAsia="仿宋_GB2312" w:hAnsiTheme="minorEastAsia"/>
          <w:sz w:val="32"/>
          <w:szCs w:val="32"/>
        </w:rPr>
      </w:pPr>
      <w:r>
        <w:rPr>
          <w:rFonts w:hint="eastAsia" w:ascii="仿宋_GB2312" w:eastAsia="仿宋_GB2312" w:hAnsiTheme="minorEastAsia"/>
          <w:sz w:val="32"/>
          <w:szCs w:val="32"/>
        </w:rPr>
        <w:t>建议要围绕增强“政治三力”，进一步压实全面从严治党主体责任，积极开展廉政风险，尤其重点领域、重要岗位、关键环节廉政风险梳理排查、防控；要增强前沿意识、阵地意识，落实意识形态责任制；加强基层组织建设，努力凸显基层组织政治功能；落实《中国共产党普通高等学校基层组织工作条例》等制度，规范工作，提高水平。</w:t>
      </w:r>
    </w:p>
    <w:p>
      <w:pPr>
        <w:ind w:firstLine="640" w:firstLineChars="200"/>
        <w:jc w:val="left"/>
        <w:rPr>
          <w:rFonts w:hint="eastAsia" w:ascii="仿宋_GB2312" w:eastAsia="仿宋_GB2312" w:hAnsiTheme="minorEastAsia"/>
          <w:sz w:val="32"/>
          <w:szCs w:val="32"/>
        </w:rPr>
      </w:pPr>
    </w:p>
    <w:p>
      <w:pPr>
        <w:spacing w:line="500" w:lineRule="exact"/>
        <w:jc w:val="left"/>
        <w:rPr>
          <w:rFonts w:hint="eastAsia" w:ascii="Times New Roman" w:hAnsi="Times New Roman" w:eastAsia="仿宋" w:cs="Times New Roman"/>
          <w:sz w:val="32"/>
          <w:szCs w:val="32"/>
        </w:rPr>
      </w:pPr>
      <w:r>
        <w:rPr>
          <w:rFonts w:hint="eastAsia" w:ascii="仿宋_GB2312" w:eastAsia="仿宋_GB2312" w:hAnsiTheme="minorEastAsia"/>
          <w:sz w:val="32"/>
          <w:szCs w:val="32"/>
        </w:rPr>
        <w:t xml:space="preserve">                                  </w:t>
      </w:r>
    </w:p>
    <w:p>
      <w:pPr>
        <w:spacing w:line="500" w:lineRule="exact"/>
        <w:jc w:val="left"/>
        <w:rPr>
          <w:rFonts w:ascii="Times New Roman" w:hAnsi="Times New Roman" w:eastAsia="仿宋" w:cs="Times New Roman"/>
          <w:sz w:val="32"/>
          <w:szCs w:val="32"/>
        </w:rPr>
      </w:pPr>
    </w:p>
    <w:p>
      <w:pPr>
        <w:spacing w:line="500" w:lineRule="exact"/>
        <w:jc w:val="left"/>
        <w:rPr>
          <w:rFonts w:ascii="Times New Roman" w:hAnsi="Times New Roman" w:eastAsia="仿宋" w:cs="Times New Roman"/>
          <w:sz w:val="32"/>
          <w:szCs w:val="32"/>
        </w:rPr>
      </w:pPr>
      <w:r>
        <w:rPr>
          <w:rFonts w:ascii="Times New Roman" w:hAnsi="Times New Roman" w:cs="Times New Roman"/>
          <w:sz w:val="32"/>
        </w:rPr>
        <mc:AlternateContent>
          <mc:Choice Requires="wps">
            <w:drawing>
              <wp:anchor distT="0" distB="0" distL="114300" distR="114300" simplePos="0" relativeHeight="251659264" behindDoc="0" locked="0" layoutInCell="1" allowOverlap="1">
                <wp:simplePos x="0" y="0"/>
                <wp:positionH relativeFrom="column">
                  <wp:posOffset>-106680</wp:posOffset>
                </wp:positionH>
                <wp:positionV relativeFrom="paragraph">
                  <wp:posOffset>161290</wp:posOffset>
                </wp:positionV>
                <wp:extent cx="6264910" cy="14605"/>
                <wp:effectExtent l="0" t="9525" r="2540" b="13970"/>
                <wp:wrapNone/>
                <wp:docPr id="3" name="直接连接符 3"/>
                <wp:cNvGraphicFramePr/>
                <a:graphic xmlns:a="http://schemas.openxmlformats.org/drawingml/2006/main">
                  <a:graphicData uri="http://schemas.microsoft.com/office/word/2010/wordprocessingShape">
                    <wps:wsp>
                      <wps:cNvCnPr/>
                      <wps:spPr>
                        <a:xfrm>
                          <a:off x="757555" y="6790690"/>
                          <a:ext cx="6264910" cy="14605"/>
                        </a:xfrm>
                        <a:prstGeom prst="line">
                          <a:avLst/>
                        </a:prstGeom>
                        <a:noFill/>
                        <a:ln w="190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8.4pt;margin-top:12.7pt;height:1.15pt;width:493.3pt;z-index:251659264;mso-width-relative:page;mso-height-relative:page;" filled="f" stroked="t" coordsize="21600,21600" o:gfxdata="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fyexI2QAAAAkBAAAPAAAAAAAAAAEAIAAAACIAAABkcnMvZG93bnJldi54&#10;bWxQSwECFAAUAAAACACHTuJAnB+I6PkBAADPAwAADgAAAAAAAAABACAAAAAoAQAAZHJzL2Uyb0Rv&#10;Yy54bWxQSwUGAAAAAAYABgBZAQAAkwUAAAAA&#10;">
                <v:fill on="f" focussize="0,0"/>
                <v:stroke weight="1.5pt" color="#000000" miterlimit="8" joinstyle="miter"/>
                <v:imagedata o:title=""/>
                <o:lock v:ext="edit" aspectratio="f"/>
              </v:line>
            </w:pict>
          </mc:Fallback>
        </mc:AlternateContent>
      </w:r>
    </w:p>
    <w:p>
      <w:pPr>
        <w:spacing w:line="5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报送：校领导、党委常委、纪委委员</w:t>
      </w:r>
    </w:p>
    <w:p>
      <w:pPr>
        <w:spacing w:line="500" w:lineRule="exact"/>
        <w:jc w:val="left"/>
        <w:rPr>
          <w:rFonts w:ascii="Times New Roman" w:hAnsi="Times New Roman" w:eastAsia="仿宋" w:cs="Times New Roman"/>
          <w:sz w:val="32"/>
          <w:szCs w:val="32"/>
        </w:rPr>
      </w:pPr>
      <w:r>
        <w:rPr>
          <w:rFonts w:ascii="Times New Roman" w:hAnsi="Times New Roman" w:eastAsia="仿宋_GB2312" w:cs="Times New Roman"/>
          <w:sz w:val="32"/>
          <w:szCs w:val="32"/>
        </w:rPr>
        <w:t xml:space="preserve">发送：各相关部门 </w:t>
      </w:r>
      <w:r>
        <w:rPr>
          <w:rFonts w:ascii="Times New Roman" w:hAnsi="Times New Roman" w:eastAsia="仿宋" w:cs="Times New Roman"/>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B06"/>
    <w:rsid w:val="00625F4B"/>
    <w:rsid w:val="009247D4"/>
    <w:rsid w:val="009B3125"/>
    <w:rsid w:val="00A22A8C"/>
    <w:rsid w:val="00C216AB"/>
    <w:rsid w:val="00E32B06"/>
    <w:rsid w:val="04B0469F"/>
    <w:rsid w:val="072E0993"/>
    <w:rsid w:val="07C41D98"/>
    <w:rsid w:val="08250014"/>
    <w:rsid w:val="0A127EFF"/>
    <w:rsid w:val="0AE5130C"/>
    <w:rsid w:val="0E2762B1"/>
    <w:rsid w:val="13B37F57"/>
    <w:rsid w:val="145322F5"/>
    <w:rsid w:val="17DD155B"/>
    <w:rsid w:val="18CE1EF5"/>
    <w:rsid w:val="1E511A2E"/>
    <w:rsid w:val="1F6B1ABE"/>
    <w:rsid w:val="219A1543"/>
    <w:rsid w:val="274C2672"/>
    <w:rsid w:val="27B34186"/>
    <w:rsid w:val="29EA38FC"/>
    <w:rsid w:val="2A4D71E0"/>
    <w:rsid w:val="2EF05CF6"/>
    <w:rsid w:val="2F340ED7"/>
    <w:rsid w:val="2FDD62D0"/>
    <w:rsid w:val="30903683"/>
    <w:rsid w:val="318B4CDF"/>
    <w:rsid w:val="330C314C"/>
    <w:rsid w:val="35D36AC6"/>
    <w:rsid w:val="365E6F0E"/>
    <w:rsid w:val="38CB4FFB"/>
    <w:rsid w:val="3DED3834"/>
    <w:rsid w:val="3FD253ED"/>
    <w:rsid w:val="40EF5CF5"/>
    <w:rsid w:val="456440C7"/>
    <w:rsid w:val="46BE585F"/>
    <w:rsid w:val="4DFB3C76"/>
    <w:rsid w:val="50EA7F71"/>
    <w:rsid w:val="518525EB"/>
    <w:rsid w:val="523B51FD"/>
    <w:rsid w:val="54524A00"/>
    <w:rsid w:val="56516F1B"/>
    <w:rsid w:val="5D845506"/>
    <w:rsid w:val="61045B8A"/>
    <w:rsid w:val="6148036A"/>
    <w:rsid w:val="63687214"/>
    <w:rsid w:val="639D6464"/>
    <w:rsid w:val="63A85131"/>
    <w:rsid w:val="65853856"/>
    <w:rsid w:val="66B51F0D"/>
    <w:rsid w:val="67C17CEC"/>
    <w:rsid w:val="6F5B0A22"/>
    <w:rsid w:val="6F834B55"/>
    <w:rsid w:val="71856145"/>
    <w:rsid w:val="72240E07"/>
    <w:rsid w:val="749307B9"/>
    <w:rsid w:val="756B01BB"/>
    <w:rsid w:val="7AD64221"/>
    <w:rsid w:val="7D7D7C92"/>
    <w:rsid w:val="7F513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link w:val="20"/>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b/>
    </w:rPr>
  </w:style>
  <w:style w:type="character" w:styleId="7">
    <w:name w:val="FollowedHyperlink"/>
    <w:basedOn w:val="5"/>
    <w:qFormat/>
    <w:uiPriority w:val="0"/>
    <w:rPr>
      <w:color w:val="333333"/>
      <w:u w:val="none"/>
    </w:rPr>
  </w:style>
  <w:style w:type="character" w:styleId="8">
    <w:name w:val="Emphasis"/>
    <w:basedOn w:val="5"/>
    <w:qFormat/>
    <w:uiPriority w:val="0"/>
  </w:style>
  <w:style w:type="character" w:styleId="9">
    <w:name w:val="HTML Definition"/>
    <w:basedOn w:val="5"/>
    <w:qFormat/>
    <w:uiPriority w:val="0"/>
  </w:style>
  <w:style w:type="character" w:styleId="10">
    <w:name w:val="HTML Acronym"/>
    <w:basedOn w:val="5"/>
    <w:qFormat/>
    <w:uiPriority w:val="0"/>
  </w:style>
  <w:style w:type="character" w:styleId="11">
    <w:name w:val="HTML Variable"/>
    <w:basedOn w:val="5"/>
    <w:qFormat/>
    <w:uiPriority w:val="0"/>
  </w:style>
  <w:style w:type="character" w:styleId="12">
    <w:name w:val="Hyperlink"/>
    <w:basedOn w:val="5"/>
    <w:qFormat/>
    <w:uiPriority w:val="0"/>
    <w:rPr>
      <w:color w:val="333333"/>
      <w:u w:val="none"/>
    </w:rPr>
  </w:style>
  <w:style w:type="character" w:styleId="13">
    <w:name w:val="HTML Code"/>
    <w:basedOn w:val="5"/>
    <w:qFormat/>
    <w:uiPriority w:val="0"/>
    <w:rPr>
      <w:rFonts w:ascii="Courier New" w:hAnsi="Courier New"/>
      <w:sz w:val="20"/>
    </w:rPr>
  </w:style>
  <w:style w:type="character" w:styleId="14">
    <w:name w:val="HTML Cite"/>
    <w:basedOn w:val="5"/>
    <w:qFormat/>
    <w:uiPriority w:val="0"/>
  </w:style>
  <w:style w:type="character" w:customStyle="1" w:styleId="15">
    <w:name w:val="item-name"/>
    <w:basedOn w:val="5"/>
    <w:qFormat/>
    <w:uiPriority w:val="0"/>
    <w:rPr>
      <w:sz w:val="22"/>
      <w:szCs w:val="22"/>
    </w:rPr>
  </w:style>
  <w:style w:type="character" w:customStyle="1" w:styleId="16">
    <w:name w:val="item-name1"/>
    <w:basedOn w:val="5"/>
    <w:qFormat/>
    <w:uiPriority w:val="0"/>
  </w:style>
  <w:style w:type="character" w:customStyle="1" w:styleId="17">
    <w:name w:val="item-name2"/>
    <w:basedOn w:val="5"/>
    <w:qFormat/>
    <w:uiPriority w:val="0"/>
  </w:style>
  <w:style w:type="character" w:customStyle="1" w:styleId="18">
    <w:name w:val="item-name3"/>
    <w:basedOn w:val="5"/>
    <w:qFormat/>
    <w:uiPriority w:val="0"/>
  </w:style>
  <w:style w:type="character" w:customStyle="1" w:styleId="19">
    <w:name w:val="yinti"/>
    <w:basedOn w:val="5"/>
    <w:qFormat/>
    <w:uiPriority w:val="0"/>
    <w:rPr>
      <w:sz w:val="27"/>
      <w:szCs w:val="27"/>
    </w:rPr>
  </w:style>
  <w:style w:type="character" w:customStyle="1" w:styleId="20">
    <w:name w:val="页眉 Char"/>
    <w:basedOn w:val="5"/>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4</Pages>
  <Words>257</Words>
  <Characters>1469</Characters>
  <Lines>12</Lines>
  <Paragraphs>3</Paragraphs>
  <TotalTime>125</TotalTime>
  <ScaleCrop>false</ScaleCrop>
  <LinksUpToDate>false</LinksUpToDate>
  <CharactersWithSpaces>1723</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xu</dc:creator>
  <cp:lastModifiedBy>汪隽</cp:lastModifiedBy>
  <cp:lastPrinted>2021-04-12T06:36:00Z</cp:lastPrinted>
  <dcterms:modified xsi:type="dcterms:W3CDTF">2021-05-13T03:05:17Z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325738C6570F409B954BB59B5B266328</vt:lpwstr>
  </property>
</Properties>
</file>