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新宋体" w:cs="Times New Roman"/>
          <w:sz w:val="44"/>
          <w:szCs w:val="44"/>
        </w:rPr>
      </w:pPr>
      <w:bookmarkStart w:id="1" w:name="_GoBack"/>
      <w:bookmarkEnd w:id="1"/>
    </w:p>
    <w:p>
      <w:pPr>
        <w:spacing w:line="360" w:lineRule="auto"/>
        <w:jc w:val="center"/>
        <w:rPr>
          <w:rFonts w:ascii="Times New Roman" w:hAnsi="Times New Roman" w:eastAsia="隶书" w:cs="Times New Roman"/>
          <w:sz w:val="150"/>
          <w:szCs w:val="150"/>
        </w:rPr>
      </w:pPr>
      <w:r>
        <w:rPr>
          <w:rFonts w:ascii="Times New Roman" w:hAnsi="Times New Roman" w:eastAsia="隶书" w:cs="Times New Roman"/>
          <w:color w:val="FF0000"/>
          <w:sz w:val="150"/>
          <w:szCs w:val="150"/>
        </w:rPr>
        <w:t>监 督 专 报</w:t>
      </w:r>
    </w:p>
    <w:p>
      <w:pPr>
        <w:spacing w:line="500" w:lineRule="exact"/>
        <w:ind w:firstLine="643" w:firstLineChars="20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2020年</w:t>
      </w:r>
      <w:r>
        <w:rPr>
          <w:rFonts w:hint="eastAsia" w:ascii="Times New Roman" w:hAnsi="Times New Roman" w:eastAsia="仿宋_GB2312" w:cs="Times New Roman"/>
          <w:b/>
          <w:bCs/>
          <w:sz w:val="32"/>
          <w:szCs w:val="32"/>
        </w:rPr>
        <w:t>7</w:t>
      </w:r>
      <w:r>
        <w:rPr>
          <w:rFonts w:ascii="Times New Roman" w:hAnsi="Times New Roman" w:eastAsia="仿宋_GB2312" w:cs="Times New Roman"/>
          <w:b/>
          <w:bCs/>
          <w:sz w:val="32"/>
          <w:szCs w:val="32"/>
        </w:rPr>
        <w:t>号</w:t>
      </w:r>
    </w:p>
    <w:p>
      <w:pPr>
        <w:spacing w:line="320" w:lineRule="exact"/>
        <w:ind w:firstLine="280" w:firstLineChars="100"/>
        <w:jc w:val="left"/>
        <w:rPr>
          <w:rFonts w:ascii="Times New Roman" w:hAnsi="Times New Roman" w:eastAsia="仿宋" w:cs="Times New Roman"/>
          <w:sz w:val="32"/>
          <w:szCs w:val="32"/>
        </w:rPr>
      </w:pPr>
      <w:r>
        <w:rPr>
          <w:rFonts w:ascii="Times New Roman" w:hAnsi="Times New Roman" w:eastAsia="仿宋_GB2312" w:cs="Times New Roman"/>
          <w:sz w:val="28"/>
          <w:szCs w:val="28"/>
        </w:rPr>
        <w:t xml:space="preserve">纪委办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 2020年</w:t>
      </w:r>
      <w:r>
        <w:rPr>
          <w:rFonts w:hint="eastAsia" w:ascii="Times New Roman" w:hAnsi="Times New Roman" w:eastAsia="仿宋_GB2312" w:cs="Times New Roman"/>
          <w:sz w:val="28"/>
          <w:szCs w:val="28"/>
        </w:rPr>
        <w:t>12</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rPr>
        <w:t>15</w:t>
      </w:r>
      <w:r>
        <w:rPr>
          <w:rFonts w:ascii="Times New Roman" w:hAnsi="Times New Roman" w:eastAsia="仿宋_GB2312" w:cs="Times New Roman"/>
          <w:sz w:val="28"/>
          <w:szCs w:val="28"/>
        </w:rPr>
        <w:t>日</w:t>
      </w:r>
      <w:r>
        <w:rPr>
          <w:rFonts w:ascii="Times New Roman" w:hAnsi="Times New Roman" w:eastAsia="仿宋" w:cs="Times New Roman"/>
          <w:sz w:val="32"/>
          <w:szCs w:val="32"/>
        </w:rPr>
        <w:t xml:space="preserve">           </w:t>
      </w:r>
    </w:p>
    <w:p>
      <w:pPr>
        <w:spacing w:line="320" w:lineRule="exact"/>
        <w:jc w:val="center"/>
        <w:rPr>
          <w:rFonts w:ascii="宋体" w:hAnsi="宋体" w:cs="宋体"/>
          <w:kern w:val="0"/>
          <w:sz w:val="24"/>
        </w:rPr>
      </w:pPr>
      <w:r>
        <w:rPr>
          <w:rFonts w:ascii="宋体" w:hAnsi="宋体" w:cs="宋体"/>
          <w:kern w:val="0"/>
          <w:sz w:val="24"/>
        </w:rPr>
        <w:pict>
          <v:rect id="_x0000_i1025" o:spt="1" style="height:2.5pt;width:429.25pt;" fillcolor="#FF0000" filled="t" stroked="f" coordsize="21600,21600" o:hr="t" o:hrstd="t" o:hrnoshade="t" o:hrpct="0" o:hralign="center">
            <v:path/>
            <v:fill on="t" focussize="0,0"/>
            <v:stroke on="f"/>
            <v:imagedata o:title=""/>
            <o:lock v:ext="edit"/>
            <w10:wrap type="none"/>
            <w10:anchorlock/>
          </v:rect>
        </w:pict>
      </w:r>
    </w:p>
    <w:p>
      <w:pPr>
        <w:spacing w:line="360" w:lineRule="auto"/>
        <w:jc w:val="center"/>
        <w:rPr>
          <w:rFonts w:ascii="Times New Roman" w:hAnsi="Times New Roman" w:eastAsia="新宋体" w:cs="Times New Roman"/>
          <w:sz w:val="44"/>
          <w:szCs w:val="44"/>
        </w:rPr>
      </w:pPr>
    </w:p>
    <w:p>
      <w:pPr>
        <w:spacing w:line="360" w:lineRule="auto"/>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关于近期印发的监督建议情况通报</w:t>
      </w:r>
    </w:p>
    <w:p>
      <w:pPr>
        <w:ind w:firstLine="560" w:firstLineChars="200"/>
        <w:jc w:val="left"/>
        <w:rPr>
          <w:rFonts w:hint="eastAsia" w:ascii="仿宋_GB2312" w:eastAsia="仿宋_GB2312" w:hAnsiTheme="minorEastAsia"/>
          <w:sz w:val="28"/>
          <w:szCs w:val="28"/>
        </w:rPr>
      </w:pPr>
    </w:p>
    <w:p>
      <w:pPr>
        <w:ind w:firstLine="640" w:firstLineChars="200"/>
        <w:jc w:val="left"/>
        <w:rPr>
          <w:rFonts w:ascii="仿宋_GB2312" w:eastAsia="仿宋_GB2312" w:hAnsiTheme="minorEastAsia"/>
          <w:sz w:val="32"/>
          <w:szCs w:val="32"/>
        </w:rPr>
      </w:pPr>
      <w:r>
        <w:rPr>
          <w:rFonts w:hint="eastAsia" w:ascii="仿宋_GB2312" w:eastAsia="仿宋_GB2312" w:hAnsiTheme="minorEastAsia"/>
          <w:sz w:val="32"/>
          <w:szCs w:val="32"/>
        </w:rPr>
        <w:t>学校纪委在日常监督、收到信访举报，尤其省委巡视移交信访件处置中，对有关学院提出了监督建议，现通报如下。</w:t>
      </w:r>
    </w:p>
    <w:p>
      <w:pPr>
        <w:ind w:firstLine="570"/>
        <w:rPr>
          <w:rFonts w:ascii="仿宋_GB2312" w:eastAsia="仿宋_GB2312" w:hAnsiTheme="minorEastAsia"/>
          <w:sz w:val="32"/>
          <w:szCs w:val="32"/>
        </w:rPr>
      </w:pPr>
      <w:r>
        <w:rPr>
          <w:rFonts w:hint="eastAsia" w:ascii="仿宋_GB2312" w:eastAsia="仿宋_GB2312"/>
          <w:sz w:val="32"/>
          <w:szCs w:val="32"/>
        </w:rPr>
        <w:t xml:space="preserve"> </w:t>
      </w:r>
      <w:r>
        <w:rPr>
          <w:rFonts w:hint="eastAsia" w:ascii="仿宋_GB2312" w:eastAsia="仿宋_GB2312" w:hAnsiTheme="minorEastAsia"/>
          <w:sz w:val="32"/>
          <w:szCs w:val="32"/>
        </w:rPr>
        <w:t>省委巡视移交信访件和日常监督反映问题主要涉及教师违反生活纪律、学术不规范、师德师风建设、人才培养与学生教育管理服务、日常管理、干部作风等方面。通过认真组织调查核查，大多数举报被查否或查无实据，未发现相关干部存在违纪违规行为，但确也不同程度存在个别教师违反生活纪律、少数教师学术不规范、管理制度执行不严格、服务师生不到位、信息公开或沟通制度不健全等情况。针对以上问题提出建议：</w:t>
      </w:r>
    </w:p>
    <w:p>
      <w:pPr>
        <w:ind w:firstLine="643" w:firstLineChars="200"/>
        <w:rPr>
          <w:rFonts w:ascii="仿宋_GB2312" w:eastAsia="仿宋_GB2312" w:hAnsiTheme="minorEastAsia"/>
          <w:sz w:val="32"/>
          <w:szCs w:val="32"/>
        </w:rPr>
      </w:pPr>
      <w:r>
        <w:rPr>
          <w:rFonts w:hint="eastAsia" w:ascii="仿宋_GB2312" w:eastAsia="仿宋_GB2312" w:hAnsiTheme="minorEastAsia"/>
          <w:b/>
          <w:sz w:val="32"/>
          <w:szCs w:val="32"/>
        </w:rPr>
        <w:t>一、落实“六要”“四有”好老师标准，常态化开展师德师风教育。</w:t>
      </w:r>
      <w:r>
        <w:rPr>
          <w:rFonts w:hint="eastAsia" w:ascii="仿宋_GB2312" w:eastAsia="仿宋_GB2312" w:hAnsiTheme="minorEastAsia"/>
          <w:sz w:val="32"/>
          <w:szCs w:val="32"/>
        </w:rPr>
        <w:t>教育大计、教师为本，落实立德树人根本任务，担当为国育才、为党育人使命，抓好师德师风建设是前提。一是要加强理论学习，用习近平新时代中国特色社会主义思想武装头脑，系统学习习近平总书记关于教育的重要论述，学懂弄通、入脑入心，增强“为谁培养人”“怎样培养人”“培养什么样的人”本领，做新时代 “有理想信念、有道德情操、有扎实学识、有仁爱之心”的好教师；二是要在日常管理中突出师德师风第一标准。将师德师风建设工作做在日常、严在经常，在教师招聘引进、教育培训、考核评价、晋升晋级及日常管理监督等方面，严格师德师风要求，突出师德师风第一标准。同时开展多层次的优秀教师选树宣传活动，发挥优秀教师典型引领示范和辐射带动作用。</w:t>
      </w:r>
    </w:p>
    <w:p>
      <w:pPr>
        <w:ind w:firstLine="643" w:firstLineChars="200"/>
        <w:rPr>
          <w:rFonts w:ascii="仿宋_GB2312" w:eastAsia="仿宋_GB2312" w:hAnsiTheme="minorEastAsia"/>
          <w:sz w:val="32"/>
          <w:szCs w:val="32"/>
        </w:rPr>
      </w:pPr>
      <w:r>
        <w:rPr>
          <w:rFonts w:hint="eastAsia" w:ascii="仿宋_GB2312" w:eastAsia="仿宋_GB2312" w:hAnsiTheme="minorEastAsia"/>
          <w:b/>
          <w:sz w:val="32"/>
          <w:szCs w:val="32"/>
        </w:rPr>
        <w:t>二、对表对标抓整改，开展学术道德和学术规范性教育。</w:t>
      </w:r>
      <w:r>
        <w:rPr>
          <w:rFonts w:hint="eastAsia" w:ascii="仿宋_GB2312" w:eastAsia="仿宋_GB2312" w:hAnsiTheme="minorEastAsia"/>
          <w:sz w:val="32"/>
          <w:szCs w:val="32"/>
        </w:rPr>
        <w:t>在当前高校竞争日趋激烈的背景下，高校教师既要在科研上攻坚克难，研教结合，不断提高科研教学水平，更要恪守学术道德、遵守学术规范，自觉做优良学术道德的践行者和良好学术风气的维护者，并对学生进行言传身教。学院要结合近年来发现的学术不规范问题，举一反三，有针对性地开展引导教育和培训。强化学习《关于加强和改进新时代师德师风建设的意见》《高等学校预防与处理学术不端行为办法》等文件精神，把加强学术道德和学术规范教育贯穿于教学、科研活动等全过程。在职称评审、项目申报、导师推荐、考核奖励等工作中突出学术道德与学术规范要求，倡导学术诚信，维护学术尊严。及时开展相关案例警示教育，定期开展项目申报、论文发表等业务培训，增强年轻教师规范学术活动的意识。</w:t>
      </w:r>
    </w:p>
    <w:p>
      <w:pPr>
        <w:ind w:firstLine="643" w:firstLineChars="200"/>
        <w:rPr>
          <w:rFonts w:ascii="仿宋_GB2312" w:eastAsia="仿宋_GB2312" w:hAnsiTheme="minorEastAsia"/>
          <w:sz w:val="32"/>
          <w:szCs w:val="32"/>
        </w:rPr>
      </w:pPr>
      <w:r>
        <w:rPr>
          <w:rFonts w:hint="eastAsia" w:ascii="仿宋_GB2312" w:eastAsia="仿宋_GB2312" w:hAnsiTheme="minorEastAsia"/>
          <w:b/>
          <w:sz w:val="32"/>
          <w:szCs w:val="32"/>
        </w:rPr>
        <w:t>三、落实《深</w:t>
      </w:r>
      <w:bookmarkStart w:id="0" w:name="_Hlk58572521"/>
      <w:r>
        <w:rPr>
          <w:rFonts w:hint="eastAsia" w:ascii="仿宋_GB2312" w:eastAsia="仿宋_GB2312" w:hAnsiTheme="minorEastAsia"/>
          <w:b/>
          <w:sz w:val="32"/>
          <w:szCs w:val="32"/>
        </w:rPr>
        <w:t>化新时代教育评价改革</w:t>
      </w:r>
      <w:bookmarkEnd w:id="0"/>
      <w:r>
        <w:rPr>
          <w:rFonts w:hint="eastAsia" w:ascii="仿宋_GB2312" w:eastAsia="仿宋_GB2312" w:hAnsiTheme="minorEastAsia"/>
          <w:b/>
          <w:sz w:val="32"/>
          <w:szCs w:val="32"/>
        </w:rPr>
        <w:t>总体方案》精神，不断激发师生活力。</w:t>
      </w:r>
      <w:r>
        <w:rPr>
          <w:rFonts w:hint="eastAsia" w:ascii="仿宋_GB2312" w:eastAsia="仿宋_GB2312" w:hAnsiTheme="minorEastAsia"/>
          <w:sz w:val="32"/>
          <w:szCs w:val="32"/>
        </w:rPr>
        <w:t xml:space="preserve">学院要从实际情况出发，强化师德为先、学生为本、教学为基、科研为要的观念，激发教师教书育人、科学研究的活力和学生成长成才的动力；坚持把立德树人作为根本任务，将落实拥护党的全面领导、加强和改进学院党的建设、做好思想政治工作和意识形态工作、维护安全稳定作为全体师生员工日常工作的依据和目标；把履行教育教学职责作为评价教师的基本要求，克服重科研轻教学、重教书轻育人等现象，突出教育教学实绩，鼓励支持教师参与教研活动和团队建设，指导学生创新创业、社团活动等工作；引导突出科研质量导向，重点评价学术贡献、社会贡献以及人才培养情况，探索分类评价；关心关注服务学生成长，落实“三全育人”要求，促进学生德智体美劳全面发展。通过注重个人评价与团队评价相结合，充分调动各类人员积极性，不断增强师生员工的荣誉感、获得感、幸福感。 </w:t>
      </w:r>
    </w:p>
    <w:p>
      <w:pPr>
        <w:ind w:firstLine="643" w:firstLineChars="200"/>
        <w:rPr>
          <w:rFonts w:ascii="仿宋_GB2312" w:eastAsia="仿宋_GB2312" w:hAnsiTheme="minorEastAsia"/>
          <w:sz w:val="32"/>
          <w:szCs w:val="32"/>
        </w:rPr>
      </w:pPr>
      <w:r>
        <w:rPr>
          <w:rFonts w:hint="eastAsia" w:ascii="仿宋_GB2312" w:eastAsia="仿宋_GB2312" w:hAnsiTheme="minorEastAsia"/>
          <w:b/>
          <w:sz w:val="32"/>
          <w:szCs w:val="32"/>
        </w:rPr>
        <w:t>四、健全完善治理体系，提升学院管理水平。</w:t>
      </w:r>
      <w:r>
        <w:rPr>
          <w:rFonts w:hint="eastAsia" w:ascii="仿宋_GB2312" w:eastAsia="仿宋_GB2312" w:hAnsiTheme="minorEastAsia"/>
          <w:sz w:val="32"/>
          <w:szCs w:val="32"/>
        </w:rPr>
        <w:t>规范执行《高校基层组织工作条例》要求，强化落实学院党委“五个到位”；严格执行学院党委会议、党政联席会议制度，落实民主集中制；健全民主参与制度，积极发挥群团组织，完善落实职工（代表）大会及教代会制度；充分发挥基层党支部、基层教学组织作用；积极发挥学院教授委员会功能；完善落实信息公开制度。进一步建立健全学院内部管理制度，增强制度执行力，坚持用制度管事管权管人，充分听民意、通民情、汇民智、聚人心，实现科学管理、规范管理，涵养风清气正的学院政治生态，促进事业快速、高质量发展。</w:t>
      </w:r>
    </w:p>
    <w:p>
      <w:pPr>
        <w:ind w:firstLine="640" w:firstLineChars="200"/>
        <w:rPr>
          <w:rFonts w:ascii="仿宋_GB2312" w:eastAsia="仿宋_GB2312" w:hAnsiTheme="minorEastAsia"/>
          <w:sz w:val="32"/>
          <w:szCs w:val="32"/>
        </w:rPr>
      </w:pPr>
    </w:p>
    <w:p>
      <w:pPr>
        <w:ind w:firstLine="640" w:firstLineChars="200"/>
        <w:jc w:val="left"/>
        <w:rPr>
          <w:rFonts w:ascii="Times New Roman" w:hAnsi="Times New Roman" w:eastAsia="仿宋_GB2312" w:cs="Times New Roman"/>
          <w:sz w:val="32"/>
          <w:szCs w:val="32"/>
        </w:rPr>
      </w:pPr>
    </w:p>
    <w:p>
      <w:pPr>
        <w:jc w:val="left"/>
        <w:rPr>
          <w:rFonts w:ascii="Times New Roman" w:hAnsi="Times New Roman" w:eastAsia="仿宋_GB2312" w:cs="Times New Roman"/>
          <w:bCs/>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hint="eastAsia" w:ascii="Times New Roman" w:hAnsi="Times New Roman" w:eastAsia="仿宋" w:cs="Times New Roman"/>
          <w:sz w:val="32"/>
          <w:szCs w:val="32"/>
        </w:rPr>
      </w:pPr>
    </w:p>
    <w:p>
      <w:pPr>
        <w:spacing w:line="500" w:lineRule="exact"/>
        <w:jc w:val="left"/>
        <w:rPr>
          <w:rFonts w:ascii="Times New Roman" w:hAnsi="Times New Roman" w:eastAsia="仿宋" w:cs="Times New Roman"/>
          <w:sz w:val="32"/>
          <w:szCs w:val="32"/>
        </w:rPr>
      </w:pPr>
    </w:p>
    <w:p>
      <w:pPr>
        <w:spacing w:line="500" w:lineRule="exact"/>
        <w:jc w:val="left"/>
        <w:rPr>
          <w:rFonts w:ascii="Times New Roman" w:hAnsi="Times New Roman" w:eastAsia="仿宋" w:cs="Times New Roman"/>
          <w:sz w:val="32"/>
          <w:szCs w:val="32"/>
        </w:rPr>
      </w:pPr>
      <w:r>
        <w:rPr>
          <w:rFonts w:ascii="Times New Roman" w:hAnsi="Times New Roman" w:cs="Times New Roman"/>
          <w:sz w:val="32"/>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161290</wp:posOffset>
                </wp:positionV>
                <wp:extent cx="6264910" cy="14605"/>
                <wp:effectExtent l="0" t="9525" r="2540" b="13970"/>
                <wp:wrapNone/>
                <wp:docPr id="3" name="直接连接符 3"/>
                <wp:cNvGraphicFramePr/>
                <a:graphic xmlns:a="http://schemas.openxmlformats.org/drawingml/2006/main">
                  <a:graphicData uri="http://schemas.microsoft.com/office/word/2010/wordprocessingShape">
                    <wps:wsp>
                      <wps:cNvCnPr/>
                      <wps:spPr>
                        <a:xfrm>
                          <a:off x="757555" y="6790690"/>
                          <a:ext cx="6264910" cy="14605"/>
                        </a:xfrm>
                        <a:prstGeom prst="line">
                          <a:avLst/>
                        </a:prstGeom>
                        <a:noFill/>
                        <a:ln w="190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8.4pt;margin-top:12.7pt;height:1.15pt;width:493.3pt;z-index:251659264;mso-width-relative:page;mso-height-relative:page;" filled="f" stroked="t" coordsize="21600,21600" o:gfxdata="UEsDBAoAAAAAAIdO4kAAAAAAAAAAAAAAAAAEAAAAZHJzL1BLAwQUAAAACACHTuJAn8nsSNkAAAAJ&#10;AQAADwAAAGRycy9kb3ducmV2LnhtbE2Py07DMBBF90j8gzVI7Fo7BdIkxKkQUoUQIJGWBUs3niYR&#10;8TiK3Qd/z7CC5X3ozplydXaDOOIUek8akrkCgdR421Or4WO7nmUgQjRkzeAJNXxjgFV1eVGawvoT&#10;1XjcxFbwCIXCaOhiHAspQ9OhM2HuRyTO9n5yJrKcWmknc+JxN8iFUql0pie+0JkRHztsvjYHp+Hm&#10;5W1bx/eM1vU+f33yD5/Zs/JaX18l6h5ExHP8K8MvPqNDxUw7fyAbxKBhlqSMHjUs7m5BcCFPczZ2&#10;bCyXIKtS/v+g+gFQSwMEFAAAAAgAh07iQJwfiOj5AQAAzwMAAA4AAABkcnMvZTJvRG9jLnhtbK1T&#10;zY7TMBC+I/EOlu80aXeTbqOme9hquSCoBDyA69iJJf/J423al+AFkLjBiSN33oblMRgnYSnLZQ/k&#10;4Mx4Zj7P93m8vj4aTQ4igHK2pvNZTomw3DXKtjV9/+72xRUlEJltmHZW1PQkgF5vnj9b974SC9c5&#10;3YhAEMRC1fuadjH6KsuAd8IwmDkvLAalC4ZFdEObNYH1iG50tsjzMutdaHxwXADg7nYM0gkxPAXQ&#10;Sam42Dp+Z4SNI2oQmkWkBJ3yQDdDt1IKHt9ICSISXVNkGocVD0F7n9Zss2ZVG5jvFJ9aYE9p4REn&#10;w5TFQx+gtiwychfUP1BG8eDAyTjjzmQjkUERZDHPH2nztmNeDFxQavAPosP/g+WvD7tAVFPTC0os&#10;M3jh9x+//fjw+ef3T7jef/1CLpJIvYcKc2/sLkwe+F1IjI8ymPRHLuRY02WxLIqCklNNy+UqL1eT&#10;xuIYCcd4uSgvV3OUn2PG/LLMiwSf/cHxAeJL4QxJRk21skkCVrHDK4hj6u+UtG3drdIa91mlLekR&#10;c5UXCZ7hbEqcCTSNR35gW0qYbnHoeQwDJDitmlSeqiG0+xsdyIGlURm+qbO/0tLZWwbdmDeEUhqr&#10;jIr4LrQyNb06r9Y2RcUwixODJOYoX7L2rjkNqmbJw3se5JhmMg3SuY/2+Tvc/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fyexI2QAAAAkBAAAPAAAAAAAAAAEAIAAAACIAAABkcnMvZG93bnJldi54&#10;bWxQSwECFAAUAAAACACHTuJAnB+I6PkBAADPAwAADgAAAAAAAAABACAAAAAoAQAAZHJzL2Uyb0Rv&#10;Yy54bWxQSwUGAAAAAAYABgBZAQAAkwUAAAAA&#10;">
                <v:fill on="f" focussize="0,0"/>
                <v:stroke weight="1.5pt" color="#000000" miterlimit="8" joinstyle="miter"/>
                <v:imagedata o:title=""/>
                <o:lock v:ext="edit" aspectratio="f"/>
              </v:line>
            </w:pict>
          </mc:Fallback>
        </mc:AlternateConten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报送：校领导、党委常委、纪委委员</w:t>
      </w:r>
    </w:p>
    <w:p>
      <w:pPr>
        <w:spacing w:line="500" w:lineRule="exact"/>
        <w:jc w:val="left"/>
        <w:rPr>
          <w:rFonts w:ascii="Times New Roman" w:hAnsi="Times New Roman" w:eastAsia="仿宋" w:cs="Times New Roman"/>
          <w:sz w:val="32"/>
          <w:szCs w:val="32"/>
        </w:rPr>
      </w:pPr>
      <w:r>
        <w:rPr>
          <w:rFonts w:ascii="Times New Roman" w:hAnsi="Times New Roman" w:eastAsia="仿宋_GB2312" w:cs="Times New Roman"/>
          <w:sz w:val="32"/>
          <w:szCs w:val="32"/>
        </w:rPr>
        <w:t xml:space="preserve">发送：各相关部门 </w:t>
      </w:r>
      <w:r>
        <w:rPr>
          <w:rFonts w:ascii="Times New Roman" w:hAnsi="Times New Roman" w:eastAsia="仿宋" w:cs="Times New Roman"/>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新宋体">
    <w:panose1 w:val="02010609030101010101"/>
    <w:charset w:val="86"/>
    <w:family w:val="modern"/>
    <w:pitch w:val="default"/>
    <w:sig w:usb0="00000283" w:usb1="288F0000" w:usb2="00000006" w:usb3="00000000" w:csb0="00040001"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06"/>
    <w:rsid w:val="00625F4B"/>
    <w:rsid w:val="009247D4"/>
    <w:rsid w:val="009B3125"/>
    <w:rsid w:val="00A22A8C"/>
    <w:rsid w:val="00C216AB"/>
    <w:rsid w:val="00E32B06"/>
    <w:rsid w:val="04B0469F"/>
    <w:rsid w:val="072E0993"/>
    <w:rsid w:val="07C41D98"/>
    <w:rsid w:val="08250014"/>
    <w:rsid w:val="0AE5130C"/>
    <w:rsid w:val="0E2762B1"/>
    <w:rsid w:val="13B37F57"/>
    <w:rsid w:val="145322F5"/>
    <w:rsid w:val="17DD155B"/>
    <w:rsid w:val="18CE1EF5"/>
    <w:rsid w:val="1E511A2E"/>
    <w:rsid w:val="1F6B1ABE"/>
    <w:rsid w:val="219A1543"/>
    <w:rsid w:val="274C2672"/>
    <w:rsid w:val="27B34186"/>
    <w:rsid w:val="2A4D71E0"/>
    <w:rsid w:val="2EF05CF6"/>
    <w:rsid w:val="2FDD62D0"/>
    <w:rsid w:val="30903683"/>
    <w:rsid w:val="318B4CDF"/>
    <w:rsid w:val="330C314C"/>
    <w:rsid w:val="35D36AC6"/>
    <w:rsid w:val="38CB4FFB"/>
    <w:rsid w:val="3DED3834"/>
    <w:rsid w:val="3FD253ED"/>
    <w:rsid w:val="40EF5CF5"/>
    <w:rsid w:val="456440C7"/>
    <w:rsid w:val="46BE585F"/>
    <w:rsid w:val="4DFB3C76"/>
    <w:rsid w:val="50EA7F71"/>
    <w:rsid w:val="518525EB"/>
    <w:rsid w:val="523B51FD"/>
    <w:rsid w:val="54524A00"/>
    <w:rsid w:val="56516F1B"/>
    <w:rsid w:val="5D845506"/>
    <w:rsid w:val="61045B8A"/>
    <w:rsid w:val="6148036A"/>
    <w:rsid w:val="63687214"/>
    <w:rsid w:val="639D6464"/>
    <w:rsid w:val="65853856"/>
    <w:rsid w:val="66B51F0D"/>
    <w:rsid w:val="67C17CEC"/>
    <w:rsid w:val="6F5B0A22"/>
    <w:rsid w:val="6F834B55"/>
    <w:rsid w:val="71856145"/>
    <w:rsid w:val="72240E07"/>
    <w:rsid w:val="756B01BB"/>
    <w:rsid w:val="7F513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link w:val="20"/>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styleId="7">
    <w:name w:val="FollowedHyperlink"/>
    <w:basedOn w:val="5"/>
    <w:uiPriority w:val="0"/>
    <w:rPr>
      <w:color w:val="333333"/>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333333"/>
      <w:u w:val="none"/>
    </w:rPr>
  </w:style>
  <w:style w:type="character" w:styleId="13">
    <w:name w:val="HTML Code"/>
    <w:basedOn w:val="5"/>
    <w:uiPriority w:val="0"/>
    <w:rPr>
      <w:rFonts w:ascii="Courier New" w:hAnsi="Courier New"/>
      <w:sz w:val="20"/>
    </w:rPr>
  </w:style>
  <w:style w:type="character" w:styleId="14">
    <w:name w:val="HTML Cite"/>
    <w:basedOn w:val="5"/>
    <w:qFormat/>
    <w:uiPriority w:val="0"/>
  </w:style>
  <w:style w:type="character" w:customStyle="1" w:styleId="15">
    <w:name w:val="item-name"/>
    <w:basedOn w:val="5"/>
    <w:qFormat/>
    <w:uiPriority w:val="0"/>
    <w:rPr>
      <w:sz w:val="22"/>
      <w:szCs w:val="22"/>
    </w:rPr>
  </w:style>
  <w:style w:type="character" w:customStyle="1" w:styleId="16">
    <w:name w:val="item-name1"/>
    <w:basedOn w:val="5"/>
    <w:qFormat/>
    <w:uiPriority w:val="0"/>
  </w:style>
  <w:style w:type="character" w:customStyle="1" w:styleId="17">
    <w:name w:val="item-name2"/>
    <w:basedOn w:val="5"/>
    <w:qFormat/>
    <w:uiPriority w:val="0"/>
  </w:style>
  <w:style w:type="character" w:customStyle="1" w:styleId="18">
    <w:name w:val="item-name3"/>
    <w:basedOn w:val="5"/>
    <w:qFormat/>
    <w:uiPriority w:val="0"/>
  </w:style>
  <w:style w:type="character" w:customStyle="1" w:styleId="19">
    <w:name w:val="yinti"/>
    <w:basedOn w:val="5"/>
    <w:qFormat/>
    <w:uiPriority w:val="0"/>
    <w:rPr>
      <w:sz w:val="27"/>
      <w:szCs w:val="27"/>
    </w:rPr>
  </w:style>
  <w:style w:type="character" w:customStyle="1" w:styleId="20">
    <w:name w:val="页眉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257</Words>
  <Characters>1469</Characters>
  <Lines>12</Lines>
  <Paragraphs>3</Paragraphs>
  <TotalTime>115</TotalTime>
  <ScaleCrop>false</ScaleCrop>
  <LinksUpToDate>false</LinksUpToDate>
  <CharactersWithSpaces>1723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xu</dc:creator>
  <cp:lastModifiedBy>徐建平</cp:lastModifiedBy>
  <cp:lastPrinted>2020-12-21T03:51:27Z</cp:lastPrinted>
  <dcterms:modified xsi:type="dcterms:W3CDTF">2020-12-21T03:54:57Z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